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B" w:rsidRPr="00950E5B" w:rsidRDefault="00057484" w:rsidP="004F4CD7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 helpful checklist for—</w:t>
      </w:r>
    </w:p>
    <w:p w:rsidR="00461A70" w:rsidRPr="004401BC" w:rsidRDefault="00461A70" w:rsidP="004F4CD7">
      <w:pPr>
        <w:rPr>
          <w:rFonts w:asciiTheme="minorHAnsi" w:hAnsiTheme="minorHAnsi" w:cstheme="minorHAnsi"/>
          <w:szCs w:val="20"/>
        </w:rPr>
      </w:pPr>
    </w:p>
    <w:p w:rsidR="00461A70" w:rsidRPr="004401BC" w:rsidRDefault="00461A70" w:rsidP="00440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401BC">
        <w:rPr>
          <w:rFonts w:asciiTheme="minorHAnsi" w:hAnsiTheme="minorHAnsi" w:cstheme="minorHAnsi"/>
          <w:sz w:val="20"/>
          <w:szCs w:val="20"/>
        </w:rPr>
        <w:t>Framing clinical question (CI)</w:t>
      </w:r>
    </w:p>
    <w:p w:rsidR="00461A70" w:rsidRPr="004401BC" w:rsidRDefault="00461A70" w:rsidP="00440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401BC">
        <w:rPr>
          <w:rFonts w:asciiTheme="minorHAnsi" w:hAnsiTheme="minorHAnsi" w:cstheme="minorHAnsi"/>
          <w:sz w:val="20"/>
          <w:szCs w:val="20"/>
        </w:rPr>
        <w:t>Describing &amp; summarizing studies (</w:t>
      </w:r>
      <w:proofErr w:type="spellStart"/>
      <w:r w:rsidRPr="004401BC">
        <w:rPr>
          <w:rFonts w:asciiTheme="minorHAnsi" w:hAnsiTheme="minorHAnsi" w:cstheme="minorHAnsi"/>
          <w:sz w:val="20"/>
          <w:szCs w:val="20"/>
        </w:rPr>
        <w:t>PICPOT</w:t>
      </w:r>
      <w:proofErr w:type="spellEnd"/>
      <w:r w:rsidR="004401BC">
        <w:rPr>
          <w:rFonts w:asciiTheme="minorHAnsi" w:hAnsiTheme="minorHAnsi" w:cstheme="minorHAnsi"/>
          <w:sz w:val="20"/>
          <w:szCs w:val="20"/>
        </w:rPr>
        <w:t>-</w:t>
      </w:r>
      <w:r w:rsidRPr="004401BC">
        <w:rPr>
          <w:rFonts w:asciiTheme="minorHAnsi" w:hAnsiTheme="minorHAnsi" w:cstheme="minorHAnsi"/>
          <w:sz w:val="20"/>
          <w:szCs w:val="20"/>
        </w:rPr>
        <w:t>S</w:t>
      </w:r>
      <w:r w:rsidR="004401BC">
        <w:rPr>
          <w:rFonts w:asciiTheme="minorHAnsi" w:hAnsiTheme="minorHAnsi" w:cstheme="minorHAnsi"/>
          <w:sz w:val="20"/>
          <w:szCs w:val="20"/>
        </w:rPr>
        <w:t>D</w:t>
      </w:r>
      <w:r w:rsidRPr="004401BC">
        <w:rPr>
          <w:rFonts w:asciiTheme="minorHAnsi" w:hAnsiTheme="minorHAnsi" w:cstheme="minorHAnsi"/>
          <w:sz w:val="20"/>
          <w:szCs w:val="20"/>
        </w:rPr>
        <w:t>)</w:t>
      </w:r>
    </w:p>
    <w:p w:rsidR="00461A70" w:rsidRPr="004401BC" w:rsidRDefault="00461A70" w:rsidP="00440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401BC">
        <w:rPr>
          <w:rFonts w:asciiTheme="minorHAnsi" w:hAnsiTheme="minorHAnsi" w:cstheme="minorHAnsi"/>
          <w:sz w:val="20"/>
          <w:szCs w:val="20"/>
        </w:rPr>
        <w:t xml:space="preserve">Assessing heterogeneity of studies </w:t>
      </w:r>
      <w:r w:rsidR="004401BC" w:rsidRPr="004401B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4401BC" w:rsidRPr="004401BC">
        <w:rPr>
          <w:rFonts w:asciiTheme="minorHAnsi" w:hAnsiTheme="minorHAnsi" w:cstheme="minorHAnsi"/>
          <w:sz w:val="20"/>
          <w:szCs w:val="20"/>
        </w:rPr>
        <w:t>PICPOT</w:t>
      </w:r>
      <w:proofErr w:type="spellEnd"/>
      <w:r w:rsidR="004401BC">
        <w:rPr>
          <w:rFonts w:asciiTheme="minorHAnsi" w:hAnsiTheme="minorHAnsi" w:cstheme="minorHAnsi"/>
          <w:sz w:val="20"/>
          <w:szCs w:val="20"/>
        </w:rPr>
        <w:t>-</w:t>
      </w:r>
      <w:r w:rsidR="004401BC" w:rsidRPr="004401BC">
        <w:rPr>
          <w:rFonts w:asciiTheme="minorHAnsi" w:hAnsiTheme="minorHAnsi" w:cstheme="minorHAnsi"/>
          <w:sz w:val="20"/>
          <w:szCs w:val="20"/>
        </w:rPr>
        <w:t>S</w:t>
      </w:r>
      <w:r w:rsidR="004401BC">
        <w:rPr>
          <w:rFonts w:asciiTheme="minorHAnsi" w:hAnsiTheme="minorHAnsi" w:cstheme="minorHAnsi"/>
          <w:sz w:val="20"/>
          <w:szCs w:val="20"/>
        </w:rPr>
        <w:t>D</w:t>
      </w:r>
      <w:r w:rsidR="004401BC" w:rsidRPr="004401BC">
        <w:rPr>
          <w:rFonts w:asciiTheme="minorHAnsi" w:hAnsiTheme="minorHAnsi" w:cstheme="minorHAnsi"/>
          <w:sz w:val="20"/>
          <w:szCs w:val="20"/>
        </w:rPr>
        <w:t>)</w:t>
      </w:r>
    </w:p>
    <w:p w:rsidR="004401BC" w:rsidRPr="004401BC" w:rsidRDefault="004401BC" w:rsidP="00440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Making indirect comparisons of studies </w:t>
      </w:r>
      <w:r w:rsidRPr="004401B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4401BC">
        <w:rPr>
          <w:rFonts w:asciiTheme="minorHAnsi" w:hAnsiTheme="minorHAnsi" w:cstheme="minorHAnsi"/>
          <w:sz w:val="20"/>
          <w:szCs w:val="20"/>
        </w:rPr>
        <w:t>PICPOT</w:t>
      </w:r>
      <w:proofErr w:type="spellEnd"/>
      <w:r>
        <w:rPr>
          <w:rFonts w:asciiTheme="minorHAnsi" w:hAnsiTheme="minorHAnsi" w:cstheme="minorHAnsi"/>
          <w:sz w:val="20"/>
          <w:szCs w:val="20"/>
        </w:rPr>
        <w:t>-</w:t>
      </w:r>
      <w:r w:rsidRPr="004401B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4401BC">
        <w:rPr>
          <w:rFonts w:asciiTheme="minorHAnsi" w:hAnsiTheme="minorHAnsi" w:cstheme="minorHAnsi"/>
          <w:sz w:val="20"/>
          <w:szCs w:val="20"/>
        </w:rPr>
        <w:t>)</w:t>
      </w:r>
    </w:p>
    <w:p w:rsidR="00461A70" w:rsidRPr="004401BC" w:rsidRDefault="00461A70" w:rsidP="00440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401BC">
        <w:rPr>
          <w:rFonts w:asciiTheme="minorHAnsi" w:hAnsiTheme="minorHAnsi" w:cstheme="minorHAnsi"/>
          <w:sz w:val="20"/>
          <w:szCs w:val="20"/>
        </w:rPr>
        <w:t>Synthesizing evidence (</w:t>
      </w:r>
      <w:proofErr w:type="spellStart"/>
      <w:r w:rsidRPr="004401BC">
        <w:rPr>
          <w:rFonts w:asciiTheme="minorHAnsi" w:hAnsiTheme="minorHAnsi" w:cstheme="minorHAnsi"/>
          <w:sz w:val="20"/>
          <w:szCs w:val="20"/>
        </w:rPr>
        <w:t>PICPOT</w:t>
      </w:r>
      <w:proofErr w:type="spellEnd"/>
      <w:r w:rsidR="004401BC">
        <w:rPr>
          <w:rFonts w:asciiTheme="minorHAnsi" w:hAnsiTheme="minorHAnsi" w:cstheme="minorHAnsi"/>
          <w:sz w:val="20"/>
          <w:szCs w:val="20"/>
        </w:rPr>
        <w:t>-</w:t>
      </w:r>
      <w:r w:rsidRPr="004401BC">
        <w:rPr>
          <w:rFonts w:asciiTheme="minorHAnsi" w:hAnsiTheme="minorHAnsi" w:cstheme="minorHAnsi"/>
          <w:sz w:val="20"/>
          <w:szCs w:val="20"/>
        </w:rPr>
        <w:t>S</w:t>
      </w:r>
      <w:r w:rsidR="004401BC">
        <w:rPr>
          <w:rFonts w:asciiTheme="minorHAnsi" w:hAnsiTheme="minorHAnsi" w:cstheme="minorHAnsi"/>
          <w:sz w:val="20"/>
          <w:szCs w:val="20"/>
        </w:rPr>
        <w:t>D</w:t>
      </w:r>
      <w:r w:rsidRPr="004401BC">
        <w:rPr>
          <w:rFonts w:asciiTheme="minorHAnsi" w:hAnsiTheme="minorHAnsi" w:cstheme="minorHAnsi"/>
          <w:sz w:val="20"/>
          <w:szCs w:val="20"/>
        </w:rPr>
        <w:t>)</w:t>
      </w:r>
    </w:p>
    <w:p w:rsidR="00461A70" w:rsidRPr="00057484" w:rsidRDefault="00461A70" w:rsidP="00440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401BC">
        <w:rPr>
          <w:rFonts w:asciiTheme="minorHAnsi" w:hAnsiTheme="minorHAnsi" w:cstheme="minorHAnsi"/>
          <w:sz w:val="20"/>
          <w:szCs w:val="20"/>
        </w:rPr>
        <w:t xml:space="preserve">Forming clinical recommendations and </w:t>
      </w:r>
      <w:r w:rsidRPr="00057484">
        <w:rPr>
          <w:rFonts w:asciiTheme="minorHAnsi" w:hAnsiTheme="minorHAnsi" w:cstheme="minorHAnsi"/>
          <w:sz w:val="20"/>
          <w:szCs w:val="20"/>
        </w:rPr>
        <w:t>decision support (</w:t>
      </w:r>
      <w:r w:rsidR="00474A15" w:rsidRPr="00057484">
        <w:rPr>
          <w:rFonts w:asciiTheme="minorHAnsi" w:hAnsiTheme="minorHAnsi" w:cstheme="minorHAnsi"/>
          <w:sz w:val="20"/>
          <w:szCs w:val="20"/>
        </w:rPr>
        <w:t>varies with project)</w:t>
      </w:r>
      <w:r w:rsidR="00474A15" w:rsidRPr="00057484" w:rsidDel="00474A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1A70" w:rsidRPr="004401BC" w:rsidRDefault="00461A70" w:rsidP="004F4CD7">
      <w:pPr>
        <w:rPr>
          <w:rFonts w:asciiTheme="minorHAnsi" w:hAnsiTheme="minorHAnsi" w:cstheme="minorHAnsi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366"/>
        <w:gridCol w:w="5922"/>
      </w:tblGrid>
      <w:tr w:rsidR="00461A70" w:rsidRPr="00461A70" w:rsidTr="000954FC">
        <w:trPr>
          <w:jc w:val="center"/>
        </w:trPr>
        <w:tc>
          <w:tcPr>
            <w:tcW w:w="1008" w:type="dxa"/>
            <w:vAlign w:val="center"/>
          </w:tcPr>
          <w:p w:rsidR="00461A70" w:rsidRPr="00461A70" w:rsidRDefault="00461A70" w:rsidP="000954FC">
            <w:pP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>Initial</w:t>
            </w:r>
            <w:r w:rsidR="00615695"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 xml:space="preserve"> For PICOT-SD Element</w:t>
            </w:r>
          </w:p>
        </w:tc>
        <w:tc>
          <w:tcPr>
            <w:tcW w:w="3366" w:type="dxa"/>
            <w:vAlign w:val="center"/>
          </w:tcPr>
          <w:p w:rsidR="00461A70" w:rsidRPr="00461A70" w:rsidRDefault="000954FC" w:rsidP="000954FC">
            <w:pP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>Meaning</w:t>
            </w:r>
          </w:p>
        </w:tc>
        <w:tc>
          <w:tcPr>
            <w:tcW w:w="5922" w:type="dxa"/>
            <w:vAlign w:val="center"/>
          </w:tcPr>
          <w:p w:rsidR="00461A70" w:rsidRPr="00057484" w:rsidRDefault="006E2C22" w:rsidP="00095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Examples of Study Elements to Review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bookmarkStart w:id="0" w:name="_GoBack" w:colFirst="0" w:colLast="3"/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P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Patient population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Inclusions, exclusions, table of baseline characteristics noting such things as proportion of screened individuals enrolled, demographics, attrition before randomization (+ reasons), severity of condition, co-morbidities, etc.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I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Intervention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Dosing, frequency, 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 xml:space="preserve">methods, 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monitoring, noting deviations from current practice, duration. Note likelihood of exposure.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C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Comparison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See Intervention, plus dose equivalency.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P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Performance outcomes of study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Training of staff and quality control. Presence or avoidance of key biases of those studies still passing a validity screening such as likely</w:t>
            </w:r>
            <w:r w:rsidR="008916FE"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balance in study groups,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success of blinding</w:t>
            </w:r>
            <w:r w:rsidR="008916FE"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including blinded assessment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, balance in co-interventions, adherence, protocol deviations, </w:t>
            </w:r>
            <w:r w:rsidR="006013A7"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missing information, 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O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Outcomes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Chosen endpoints (definitions, surrogates, composites), individual items from composite outcomes, placebo event rates, etc.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T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Time issues</w:t>
            </w:r>
          </w:p>
        </w:tc>
        <w:tc>
          <w:tcPr>
            <w:tcW w:w="5922" w:type="dxa"/>
          </w:tcPr>
          <w:p w:rsidR="00461A70" w:rsidRPr="00057484" w:rsidRDefault="008916FE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Concurrence in studied groups, t</w:t>
            </w:r>
            <w:r w:rsidR="00461A70" w:rsidRPr="00057484">
              <w:rPr>
                <w:rFonts w:asciiTheme="minorHAnsi" w:hAnsiTheme="minorHAnsi" w:cstheme="minorHAnsi"/>
                <w:sz w:val="20"/>
                <w:szCs w:val="20"/>
              </w:rPr>
              <w:t>reatment duration, follow-up duration, seasonal issues, changes over time such as in infectious disease issues, registry issues, etc.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S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Setting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Multicenter, single center, primary, secondary versus tertiary care centers, university setting, etc., noting differences for settings of interest.</w:t>
            </w:r>
          </w:p>
        </w:tc>
      </w:tr>
      <w:tr w:rsidR="00461A70" w:rsidRPr="00461A70" w:rsidTr="004401BC">
        <w:trPr>
          <w:jc w:val="center"/>
        </w:trPr>
        <w:tc>
          <w:tcPr>
            <w:tcW w:w="1008" w:type="dxa"/>
          </w:tcPr>
          <w:p w:rsidR="00461A70" w:rsidRPr="00461A70" w:rsidRDefault="00461A70" w:rsidP="00EC6E0A">
            <w:pPr>
              <w:jc w:val="center"/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D</w:t>
            </w:r>
          </w:p>
        </w:tc>
        <w:tc>
          <w:tcPr>
            <w:tcW w:w="3366" w:type="dxa"/>
          </w:tcPr>
          <w:p w:rsidR="00461A70" w:rsidRPr="00461A70" w:rsidRDefault="00461A70" w:rsidP="00925C3E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61A7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Design of study</w:t>
            </w:r>
          </w:p>
        </w:tc>
        <w:tc>
          <w:tcPr>
            <w:tcW w:w="5922" w:type="dxa"/>
          </w:tcPr>
          <w:p w:rsidR="00461A70" w:rsidRPr="00057484" w:rsidRDefault="00461A70" w:rsidP="0092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Experiment or observation, randomization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run-in periods to assess likelihood of nonadherence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16FE" w:rsidRPr="00057484">
              <w:rPr>
                <w:rFonts w:asciiTheme="minorHAnsi" w:hAnsiTheme="minorHAnsi" w:cstheme="minorHAnsi"/>
                <w:sz w:val="20"/>
                <w:szCs w:val="20"/>
              </w:rPr>
              <w:t>application of intervention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8916FE"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care experiences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measurement methods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8916FE" w:rsidRPr="00057484">
              <w:rPr>
                <w:rFonts w:asciiTheme="minorHAnsi" w:hAnsiTheme="minorHAnsi" w:cstheme="minorHAnsi"/>
                <w:sz w:val="20"/>
                <w:szCs w:val="20"/>
              </w:rPr>
              <w:t xml:space="preserve"> analysis methods</w:t>
            </w:r>
            <w:r w:rsidR="00A20482">
              <w:rPr>
                <w:rFonts w:asciiTheme="minorHAnsi" w:hAnsiTheme="minorHAnsi" w:cstheme="minorHAnsi"/>
                <w:sz w:val="20"/>
                <w:szCs w:val="20"/>
              </w:rPr>
              <w:t xml:space="preserve"> including blinded assessment, alpha spending, populations for analysis, imputation, censoring rules</w:t>
            </w:r>
            <w:r w:rsidRPr="00057484"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</w:p>
        </w:tc>
      </w:tr>
      <w:bookmarkEnd w:id="0"/>
    </w:tbl>
    <w:p w:rsidR="00461A70" w:rsidRPr="004401BC" w:rsidRDefault="00461A70" w:rsidP="004F4CD7">
      <w:pPr>
        <w:rPr>
          <w:rFonts w:asciiTheme="minorHAnsi" w:hAnsiTheme="minorHAnsi" w:cstheme="minorHAnsi"/>
          <w:szCs w:val="20"/>
        </w:rPr>
      </w:pPr>
    </w:p>
    <w:p w:rsidR="00461A70" w:rsidRPr="004401BC" w:rsidRDefault="00461A70" w:rsidP="004F4CD7">
      <w:pPr>
        <w:rPr>
          <w:rFonts w:asciiTheme="minorHAnsi" w:hAnsiTheme="minorHAnsi" w:cstheme="minorHAnsi"/>
          <w:szCs w:val="20"/>
        </w:rPr>
      </w:pPr>
    </w:p>
    <w:p w:rsidR="00474A15" w:rsidRPr="00057484" w:rsidRDefault="00474A15" w:rsidP="004F4CD7">
      <w:pPr>
        <w:rPr>
          <w:rFonts w:asciiTheme="minorHAnsi" w:eastAsia="Calibri" w:hAnsiTheme="minorHAnsi" w:cstheme="minorHAnsi"/>
          <w:b/>
          <w:color w:val="373737"/>
          <w:szCs w:val="20"/>
        </w:rPr>
      </w:pPr>
      <w:r w:rsidRPr="00057484">
        <w:rPr>
          <w:rFonts w:asciiTheme="minorHAnsi" w:eastAsia="Calibri" w:hAnsiTheme="minorHAnsi" w:cstheme="minorHAnsi"/>
          <w:b/>
          <w:color w:val="373737"/>
          <w:szCs w:val="20"/>
        </w:rPr>
        <w:t>References</w:t>
      </w:r>
    </w:p>
    <w:p w:rsidR="00474A15" w:rsidRDefault="00474A15" w:rsidP="004F4CD7">
      <w:pPr>
        <w:rPr>
          <w:rFonts w:asciiTheme="minorHAnsi" w:eastAsia="Calibri" w:hAnsiTheme="minorHAnsi" w:cstheme="minorHAnsi"/>
          <w:color w:val="373737"/>
          <w:szCs w:val="20"/>
        </w:rPr>
      </w:pPr>
      <w:r w:rsidRPr="00057484">
        <w:rPr>
          <w:rFonts w:asciiTheme="minorHAnsi" w:eastAsia="Calibri" w:hAnsiTheme="minorHAnsi" w:cstheme="minorHAnsi"/>
          <w:color w:val="373737"/>
          <w:szCs w:val="20"/>
        </w:rPr>
        <w:t>1. 5 “</w:t>
      </w:r>
      <w:proofErr w:type="spellStart"/>
      <w:r w:rsidRPr="00057484">
        <w:rPr>
          <w:rFonts w:asciiTheme="minorHAnsi" w:eastAsia="Calibri" w:hAnsiTheme="minorHAnsi" w:cstheme="minorHAnsi"/>
          <w:color w:val="373737"/>
          <w:szCs w:val="20"/>
        </w:rPr>
        <w:t>A”s</w:t>
      </w:r>
      <w:proofErr w:type="spellEnd"/>
      <w:r w:rsidRPr="00057484">
        <w:rPr>
          <w:rFonts w:asciiTheme="minorHAnsi" w:eastAsia="Calibri" w:hAnsiTheme="minorHAnsi" w:cstheme="minorHAnsi"/>
          <w:color w:val="373737"/>
          <w:szCs w:val="20"/>
        </w:rPr>
        <w:t xml:space="preserve"> of Evidence-based Medicine &amp; PICOTS: Using “Population, Intervention, Comparison, Outcomes, Timing, Setting” (PICOTS) In Evidence-Based Quality Improvement Workhttp://delfini.org/blog/?p=416</w:t>
      </w:r>
    </w:p>
    <w:p w:rsidR="00474A15" w:rsidRDefault="00474A15" w:rsidP="004F4CD7">
      <w:pPr>
        <w:rPr>
          <w:rFonts w:asciiTheme="minorHAnsi" w:eastAsia="Calibri" w:hAnsiTheme="minorHAnsi" w:cstheme="minorHAnsi"/>
          <w:color w:val="373737"/>
          <w:szCs w:val="20"/>
        </w:rPr>
      </w:pPr>
    </w:p>
    <w:p w:rsidR="00474A15" w:rsidRDefault="00474A15" w:rsidP="004F4CD7">
      <w:pPr>
        <w:rPr>
          <w:rFonts w:asciiTheme="minorHAnsi" w:eastAsia="Calibri" w:hAnsiTheme="minorHAnsi" w:cstheme="minorHAnsi"/>
          <w:color w:val="373737"/>
          <w:szCs w:val="20"/>
        </w:rPr>
      </w:pPr>
      <w:r>
        <w:rPr>
          <w:rFonts w:asciiTheme="minorHAnsi" w:eastAsia="Calibri" w:hAnsiTheme="minorHAnsi" w:cstheme="minorHAnsi"/>
          <w:color w:val="373737"/>
          <w:szCs w:val="20"/>
        </w:rPr>
        <w:t xml:space="preserve">2. </w:t>
      </w:r>
      <w:r w:rsidRPr="00474A15">
        <w:rPr>
          <w:rFonts w:asciiTheme="minorHAnsi" w:eastAsia="Calibri" w:hAnsiTheme="minorHAnsi" w:cstheme="minorHAnsi"/>
          <w:color w:val="373737"/>
          <w:szCs w:val="20"/>
        </w:rPr>
        <w:t xml:space="preserve">3. Methods Guide for Effectiveness and Comparative Effectiveness Reviews. </w:t>
      </w:r>
      <w:proofErr w:type="spellStart"/>
      <w:proofErr w:type="gramStart"/>
      <w:r w:rsidRPr="00474A15">
        <w:rPr>
          <w:rFonts w:asciiTheme="minorHAnsi" w:eastAsia="Calibri" w:hAnsiTheme="minorHAnsi" w:cstheme="minorHAnsi"/>
          <w:color w:val="373737"/>
          <w:szCs w:val="20"/>
        </w:rPr>
        <w:t>AHRQ</w:t>
      </w:r>
      <w:proofErr w:type="spellEnd"/>
      <w:r w:rsidRPr="00474A15">
        <w:rPr>
          <w:rFonts w:asciiTheme="minorHAnsi" w:eastAsia="Calibri" w:hAnsiTheme="minorHAnsi" w:cstheme="minorHAnsi"/>
          <w:color w:val="373737"/>
          <w:szCs w:val="20"/>
        </w:rPr>
        <w:t xml:space="preserve"> Publication No. 10(12)-EHC063-EF.</w:t>
      </w:r>
      <w:proofErr w:type="gramEnd"/>
      <w:r w:rsidRPr="00474A15">
        <w:rPr>
          <w:rFonts w:asciiTheme="minorHAnsi" w:eastAsia="Calibri" w:hAnsiTheme="minorHAnsi" w:cstheme="minorHAnsi"/>
          <w:color w:val="373737"/>
          <w:szCs w:val="20"/>
        </w:rPr>
        <w:t xml:space="preserve"> Rockville, MD: Agency for Healthcare Research and Quality. April 2012. Chapters available at: www.effectivehealthcare.ahrq.gov</w:t>
      </w:r>
    </w:p>
    <w:p w:rsidR="006C5F3A" w:rsidRDefault="006C5F3A" w:rsidP="004F4CD7">
      <w:pPr>
        <w:rPr>
          <w:rFonts w:asciiTheme="minorHAnsi" w:eastAsia="Calibri" w:hAnsiTheme="minorHAnsi" w:cstheme="minorHAnsi"/>
          <w:color w:val="373737"/>
          <w:szCs w:val="20"/>
        </w:rPr>
      </w:pPr>
    </w:p>
    <w:p w:rsidR="006C5F3A" w:rsidRPr="00057484" w:rsidRDefault="006C5F3A" w:rsidP="004F4CD7">
      <w:pPr>
        <w:rPr>
          <w:rFonts w:asciiTheme="minorHAnsi" w:eastAsia="Calibri" w:hAnsiTheme="minorHAnsi" w:cstheme="minorHAnsi"/>
          <w:color w:val="373737"/>
          <w:szCs w:val="20"/>
        </w:rPr>
      </w:pPr>
      <w:r>
        <w:rPr>
          <w:rFonts w:asciiTheme="minorHAnsi" w:eastAsia="Calibri" w:hAnsiTheme="minorHAnsi" w:cstheme="minorHAnsi"/>
          <w:color w:val="373737"/>
          <w:szCs w:val="20"/>
        </w:rPr>
        <w:t>"Performance Outcomes of Study" added by Delfini.</w:t>
      </w:r>
    </w:p>
    <w:p w:rsidR="00474A15" w:rsidRDefault="00474A15" w:rsidP="004F4CD7">
      <w:pPr>
        <w:rPr>
          <w:rFonts w:asciiTheme="minorHAnsi" w:hAnsiTheme="minorHAnsi" w:cstheme="minorHAnsi"/>
          <w:szCs w:val="20"/>
        </w:rPr>
      </w:pPr>
    </w:p>
    <w:p w:rsidR="00461A70" w:rsidRPr="004401BC" w:rsidRDefault="00461A70" w:rsidP="004F4CD7">
      <w:pPr>
        <w:rPr>
          <w:rFonts w:asciiTheme="minorHAnsi" w:hAnsiTheme="minorHAnsi" w:cstheme="minorHAnsi"/>
          <w:szCs w:val="20"/>
        </w:rPr>
      </w:pPr>
    </w:p>
    <w:p w:rsidR="00EC6E0A" w:rsidRPr="004401BC" w:rsidRDefault="00EC6E0A" w:rsidP="004F4CD7">
      <w:pPr>
        <w:rPr>
          <w:rFonts w:asciiTheme="minorHAnsi" w:hAnsiTheme="minorHAnsi" w:cstheme="minorHAnsi"/>
          <w:szCs w:val="20"/>
        </w:rPr>
      </w:pPr>
    </w:p>
    <w:p w:rsidR="00EC6E0A" w:rsidRPr="004401BC" w:rsidRDefault="00EC6E0A" w:rsidP="004F4CD7">
      <w:pPr>
        <w:rPr>
          <w:rFonts w:asciiTheme="minorHAnsi" w:hAnsiTheme="minorHAnsi" w:cstheme="minorHAnsi"/>
          <w:szCs w:val="20"/>
        </w:rPr>
      </w:pPr>
    </w:p>
    <w:p w:rsidR="00461A70" w:rsidRPr="004401BC" w:rsidRDefault="00461A70" w:rsidP="004F4CD7">
      <w:pPr>
        <w:rPr>
          <w:rFonts w:asciiTheme="minorHAnsi" w:hAnsiTheme="minorHAnsi" w:cstheme="minorHAnsi"/>
          <w:szCs w:val="20"/>
        </w:rPr>
      </w:pPr>
    </w:p>
    <w:sectPr w:rsidR="00461A70" w:rsidRPr="004401BC" w:rsidSect="00B477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46" w:right="720" w:bottom="43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57" w:rsidRDefault="002A4C57" w:rsidP="00534F13">
      <w:pPr>
        <w:pStyle w:val="Footer"/>
      </w:pPr>
      <w:r>
        <w:separator/>
      </w:r>
    </w:p>
  </w:endnote>
  <w:endnote w:type="continuationSeparator" w:id="0">
    <w:p w:rsidR="002A4C57" w:rsidRDefault="002A4C57" w:rsidP="00534F1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Default="003F5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BB0" w:rsidRDefault="003F5B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925C8B" w:rsidRDefault="003F5BB0" w:rsidP="00B477A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sz w:val="16"/>
        <w:szCs w:val="16"/>
      </w:rPr>
    </w:pPr>
    <w:r w:rsidRPr="00925C8B">
      <w:rPr>
        <w:rFonts w:ascii="Calibri" w:hAnsi="Calibri"/>
        <w:sz w:val="16"/>
        <w:szCs w:val="16"/>
        <w:lang w:val="it-IT"/>
      </w:rPr>
      <w:t>www.delfini.org</w:t>
    </w:r>
    <w:r w:rsidRPr="00925C8B">
      <w:rPr>
        <w:rFonts w:ascii="Calibri" w:hAnsi="Calibri"/>
        <w:sz w:val="16"/>
        <w:szCs w:val="16"/>
        <w:lang w:val="it-IT"/>
      </w:rPr>
      <w:tab/>
      <w:t xml:space="preserve">© </w:t>
    </w:r>
    <w:r w:rsidR="004B5FAA">
      <w:rPr>
        <w:rFonts w:ascii="Calibri" w:hAnsi="Calibri"/>
        <w:sz w:val="16"/>
        <w:szCs w:val="16"/>
        <w:lang w:val="it-IT"/>
      </w:rPr>
      <w:t>201</w:t>
    </w:r>
    <w:r w:rsidR="004419CC">
      <w:rPr>
        <w:rFonts w:ascii="Calibri" w:hAnsi="Calibri"/>
        <w:sz w:val="16"/>
        <w:szCs w:val="16"/>
        <w:lang w:val="it-IT"/>
      </w:rPr>
      <w:t>5</w:t>
    </w:r>
    <w:r w:rsidR="00057484">
      <w:rPr>
        <w:rFonts w:ascii="Calibri" w:hAnsi="Calibri"/>
        <w:sz w:val="16"/>
        <w:szCs w:val="16"/>
        <w:lang w:val="it-IT"/>
      </w:rPr>
      <w:t>-2016</w:t>
    </w:r>
    <w:r w:rsidR="004767E0">
      <w:rPr>
        <w:rFonts w:ascii="Calibri" w:hAnsi="Calibri"/>
        <w:sz w:val="16"/>
        <w:szCs w:val="16"/>
        <w:lang w:val="it-IT"/>
      </w:rPr>
      <w:t xml:space="preserve"> </w:t>
    </w:r>
    <w:r w:rsidRPr="00925C8B">
      <w:rPr>
        <w:rFonts w:ascii="Calibri" w:hAnsi="Calibri"/>
        <w:sz w:val="16"/>
        <w:szCs w:val="16"/>
        <w:lang w:val="it-IT"/>
      </w:rPr>
      <w:t xml:space="preserve">Delfini Group, LLC. </w:t>
    </w:r>
    <w:r w:rsidRPr="00925C8B">
      <w:rPr>
        <w:rFonts w:ascii="Calibri" w:hAnsi="Calibri"/>
        <w:sz w:val="16"/>
        <w:szCs w:val="16"/>
      </w:rPr>
      <w:t>All Rights Reserved Worldwide.</w:t>
    </w:r>
    <w:r w:rsidRPr="00925C8B">
      <w:rPr>
        <w:rFonts w:ascii="Calibri" w:hAnsi="Calibri"/>
        <w:sz w:val="16"/>
        <w:szCs w:val="16"/>
      </w:rPr>
      <w:tab/>
      <w:t xml:space="preserve">Page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PAGE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474C27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  <w:r w:rsidRPr="00925C8B">
      <w:rPr>
        <w:rStyle w:val="PageNumber"/>
        <w:rFonts w:ascii="Calibri" w:hAnsi="Calibri"/>
        <w:sz w:val="16"/>
        <w:szCs w:val="16"/>
      </w:rPr>
      <w:t xml:space="preserve"> of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474C27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FF72DF" w:rsidRDefault="003F5BB0" w:rsidP="00FF4C51">
    <w:pPr>
      <w:pStyle w:val="Footer"/>
      <w:tabs>
        <w:tab w:val="clear" w:pos="4320"/>
        <w:tab w:val="center" w:pos="5520"/>
      </w:tabs>
      <w:ind w:right="360"/>
      <w:rPr>
        <w:sz w:val="14"/>
        <w:szCs w:val="14"/>
      </w:rPr>
    </w:pPr>
    <w:r w:rsidRPr="00FF72DF">
      <w:rPr>
        <w:rFonts w:ascii="Verdana" w:hAnsi="Verdana"/>
        <w:sz w:val="14"/>
        <w:szCs w:val="14"/>
        <w:lang w:val="it-IT"/>
      </w:rPr>
      <w:t xml:space="preserve">www.delfini.org </w:t>
    </w:r>
    <w:r w:rsidRPr="00FF72DF">
      <w:rPr>
        <w:rFonts w:ascii="Verdana" w:hAnsi="Verdana"/>
        <w:sz w:val="14"/>
        <w:szCs w:val="14"/>
        <w:lang w:val="it-IT"/>
      </w:rPr>
      <w:tab/>
      <w:t xml:space="preserve">© Delfini Group, LLC, 2010.  </w:t>
    </w:r>
    <w:r w:rsidRPr="00FF72DF">
      <w:rPr>
        <w:rFonts w:ascii="Verdana" w:hAnsi="Verdana"/>
        <w:sz w:val="14"/>
        <w:szCs w:val="14"/>
      </w:rPr>
      <w:t>All Rights Reserved World 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57" w:rsidRDefault="002A4C57" w:rsidP="00534F13">
      <w:pPr>
        <w:pStyle w:val="Footer"/>
      </w:pPr>
      <w:r>
        <w:separator/>
      </w:r>
    </w:p>
  </w:footnote>
  <w:footnote w:type="continuationSeparator" w:id="0">
    <w:p w:rsidR="002A4C57" w:rsidRDefault="002A4C57" w:rsidP="00534F1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925C8B" w:rsidRPr="00367FE8" w:rsidTr="00712D2C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925C8B" w:rsidRDefault="00925C8B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 w:rsidR="00461A70">
            <w:rPr>
              <w:bCs/>
              <w:iCs/>
              <w:color w:val="FFFFFF"/>
              <w:sz w:val="28"/>
              <w:szCs w:val="16"/>
            </w:rPr>
            <w:t>Tool</w:t>
          </w:r>
          <w:r w:rsidR="004419CC">
            <w:rPr>
              <w:bCs/>
              <w:iCs/>
              <w:color w:val="FFFFFF"/>
              <w:sz w:val="28"/>
              <w:szCs w:val="16"/>
            </w:rPr>
            <w:t xml:space="preserve"> </w:t>
          </w:r>
        </w:p>
        <w:p w:rsidR="00925C8B" w:rsidRPr="003F5BB0" w:rsidRDefault="00461A70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proofErr w:type="spellStart"/>
          <w:r>
            <w:rPr>
              <w:bCs/>
              <w:iCs/>
              <w:color w:val="FFFFFF"/>
              <w:sz w:val="28"/>
              <w:szCs w:val="16"/>
            </w:rPr>
            <w:t>PICPOT</w:t>
          </w:r>
          <w:proofErr w:type="spellEnd"/>
          <w:r>
            <w:rPr>
              <w:bCs/>
              <w:iCs/>
              <w:color w:val="FFFFFF"/>
              <w:sz w:val="28"/>
              <w:szCs w:val="16"/>
            </w:rPr>
            <w:t>-SD Checklist</w:t>
          </w:r>
        </w:p>
      </w:tc>
    </w:tr>
  </w:tbl>
  <w:p w:rsidR="003F5BB0" w:rsidRDefault="003F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3F5BB0" w:rsidRPr="00367FE8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3F5BB0" w:rsidRP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 xml:space="preserve">Basic Considerations </w:t>
          </w:r>
          <w:proofErr w:type="gramStart"/>
          <w:r>
            <w:rPr>
              <w:bCs/>
              <w:iCs/>
              <w:color w:val="FFFFFF"/>
              <w:sz w:val="28"/>
              <w:szCs w:val="16"/>
            </w:rPr>
            <w:t>in  Evaluating</w:t>
          </w:r>
          <w:proofErr w:type="gramEnd"/>
          <w:r>
            <w:rPr>
              <w:bCs/>
              <w:iCs/>
              <w:color w:val="FFFFFF"/>
              <w:sz w:val="28"/>
              <w:szCs w:val="16"/>
            </w:rPr>
            <w:t xml:space="preserve"> Reliability &amp; Usefulness of Efficacy Evidence </w:t>
          </w:r>
          <w:r w:rsidR="0047560A">
            <w:rPr>
              <w:bCs/>
              <w:iCs/>
              <w:color w:val="FFFFFF"/>
              <w:sz w:val="28"/>
              <w:szCs w:val="16"/>
            </w:rPr>
            <w:t xml:space="preserve">of Superiority Trials </w:t>
          </w:r>
          <w:r>
            <w:rPr>
              <w:bCs/>
              <w:iCs/>
              <w:color w:val="FFFFFF"/>
              <w:sz w:val="28"/>
              <w:szCs w:val="16"/>
            </w:rPr>
            <w:t>for Therapies</w:t>
          </w:r>
        </w:p>
      </w:tc>
    </w:tr>
  </w:tbl>
  <w:p w:rsidR="003F5BB0" w:rsidRDefault="003F5BB0" w:rsidP="006B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pt;height:9.5pt" o:bullet="t">
        <v:imagedata r:id="rId1" o:title="clip_image001"/>
      </v:shape>
    </w:pict>
  </w:numPicBullet>
  <w:numPicBullet w:numPicBulletId="1">
    <w:pict>
      <v:shape id="_x0000_i1036" type="#_x0000_t75" style="width:11.55pt;height:11.55pt" o:bullet="t">
        <v:imagedata r:id="rId2" o:title="clip_image002"/>
      </v:shape>
    </w:pict>
  </w:numPicBullet>
  <w:numPicBullet w:numPicBulletId="2">
    <w:pict>
      <v:shape id="_x0000_i1037" type="#_x0000_t75" style="width:9.5pt;height:9.5pt" o:bullet="t">
        <v:imagedata r:id="rId3" o:title="clip_image003"/>
      </v:shape>
    </w:pict>
  </w:numPicBullet>
  <w:abstractNum w:abstractNumId="0">
    <w:nsid w:val="0BC70272"/>
    <w:multiLevelType w:val="hybridMultilevel"/>
    <w:tmpl w:val="E5E41C00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B715C"/>
    <w:multiLevelType w:val="hybridMultilevel"/>
    <w:tmpl w:val="40A8BF1E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E545D"/>
    <w:multiLevelType w:val="hybridMultilevel"/>
    <w:tmpl w:val="02CED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45446"/>
    <w:multiLevelType w:val="hybridMultilevel"/>
    <w:tmpl w:val="28FC92EC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106C1"/>
    <w:multiLevelType w:val="hybridMultilevel"/>
    <w:tmpl w:val="BAD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15DAD"/>
    <w:multiLevelType w:val="hybridMultilevel"/>
    <w:tmpl w:val="2620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546"/>
    <w:multiLevelType w:val="hybridMultilevel"/>
    <w:tmpl w:val="817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565AA"/>
    <w:multiLevelType w:val="hybridMultilevel"/>
    <w:tmpl w:val="F776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1F6F"/>
    <w:multiLevelType w:val="hybridMultilevel"/>
    <w:tmpl w:val="5654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Stuart">
    <w15:presenceInfo w15:providerId="Windows Live" w15:userId="e108314b6d1fe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0006E6"/>
    <w:rsid w:val="00012758"/>
    <w:rsid w:val="00014577"/>
    <w:rsid w:val="00015033"/>
    <w:rsid w:val="00020962"/>
    <w:rsid w:val="00023D09"/>
    <w:rsid w:val="00026550"/>
    <w:rsid w:val="00027994"/>
    <w:rsid w:val="00031021"/>
    <w:rsid w:val="00035D0F"/>
    <w:rsid w:val="00045148"/>
    <w:rsid w:val="00047895"/>
    <w:rsid w:val="0005522D"/>
    <w:rsid w:val="00055928"/>
    <w:rsid w:val="00057484"/>
    <w:rsid w:val="000655F0"/>
    <w:rsid w:val="000718B7"/>
    <w:rsid w:val="00071D75"/>
    <w:rsid w:val="0007476D"/>
    <w:rsid w:val="00080B01"/>
    <w:rsid w:val="0008513B"/>
    <w:rsid w:val="00086784"/>
    <w:rsid w:val="00087EA7"/>
    <w:rsid w:val="000912E2"/>
    <w:rsid w:val="000954FC"/>
    <w:rsid w:val="0009555A"/>
    <w:rsid w:val="000A42C3"/>
    <w:rsid w:val="000B5416"/>
    <w:rsid w:val="000D5491"/>
    <w:rsid w:val="000E1172"/>
    <w:rsid w:val="000F3FEA"/>
    <w:rsid w:val="000F6C4B"/>
    <w:rsid w:val="0011254F"/>
    <w:rsid w:val="00113F0A"/>
    <w:rsid w:val="00114E1C"/>
    <w:rsid w:val="00116744"/>
    <w:rsid w:val="00125019"/>
    <w:rsid w:val="00125228"/>
    <w:rsid w:val="001274AF"/>
    <w:rsid w:val="001303C2"/>
    <w:rsid w:val="001437AC"/>
    <w:rsid w:val="00152D25"/>
    <w:rsid w:val="00157C84"/>
    <w:rsid w:val="0016224B"/>
    <w:rsid w:val="0017595E"/>
    <w:rsid w:val="001838F8"/>
    <w:rsid w:val="00184391"/>
    <w:rsid w:val="001870A3"/>
    <w:rsid w:val="00190BE1"/>
    <w:rsid w:val="00196EE3"/>
    <w:rsid w:val="001A07CF"/>
    <w:rsid w:val="001B73B4"/>
    <w:rsid w:val="001C14F3"/>
    <w:rsid w:val="001C5F61"/>
    <w:rsid w:val="001D2F33"/>
    <w:rsid w:val="001F10CA"/>
    <w:rsid w:val="00211480"/>
    <w:rsid w:val="00213FA7"/>
    <w:rsid w:val="0021616C"/>
    <w:rsid w:val="00220F8B"/>
    <w:rsid w:val="002233A0"/>
    <w:rsid w:val="0022483A"/>
    <w:rsid w:val="00225A91"/>
    <w:rsid w:val="00225BEB"/>
    <w:rsid w:val="00227E41"/>
    <w:rsid w:val="00232DDC"/>
    <w:rsid w:val="00240793"/>
    <w:rsid w:val="0024616B"/>
    <w:rsid w:val="0024709D"/>
    <w:rsid w:val="00252C47"/>
    <w:rsid w:val="002555C7"/>
    <w:rsid w:val="00266891"/>
    <w:rsid w:val="0028457B"/>
    <w:rsid w:val="00285194"/>
    <w:rsid w:val="002855EF"/>
    <w:rsid w:val="002859FF"/>
    <w:rsid w:val="00286832"/>
    <w:rsid w:val="002870D6"/>
    <w:rsid w:val="002918EF"/>
    <w:rsid w:val="002A02F0"/>
    <w:rsid w:val="002A0746"/>
    <w:rsid w:val="002A3F9C"/>
    <w:rsid w:val="002A4C57"/>
    <w:rsid w:val="002B008F"/>
    <w:rsid w:val="002C1C8F"/>
    <w:rsid w:val="002C7EAC"/>
    <w:rsid w:val="002D39F2"/>
    <w:rsid w:val="002D6265"/>
    <w:rsid w:val="002D6A88"/>
    <w:rsid w:val="002F1796"/>
    <w:rsid w:val="00300F92"/>
    <w:rsid w:val="00304E6B"/>
    <w:rsid w:val="00305BC7"/>
    <w:rsid w:val="0031111E"/>
    <w:rsid w:val="00314E26"/>
    <w:rsid w:val="00320907"/>
    <w:rsid w:val="00320A63"/>
    <w:rsid w:val="003246D7"/>
    <w:rsid w:val="00324F76"/>
    <w:rsid w:val="00331B32"/>
    <w:rsid w:val="003350D8"/>
    <w:rsid w:val="003428B7"/>
    <w:rsid w:val="00352C47"/>
    <w:rsid w:val="00354448"/>
    <w:rsid w:val="00354C35"/>
    <w:rsid w:val="00355DA4"/>
    <w:rsid w:val="00372CB1"/>
    <w:rsid w:val="003734BE"/>
    <w:rsid w:val="00377CBA"/>
    <w:rsid w:val="00386F48"/>
    <w:rsid w:val="00387539"/>
    <w:rsid w:val="0039190B"/>
    <w:rsid w:val="00392ED5"/>
    <w:rsid w:val="003953BD"/>
    <w:rsid w:val="003B4EC7"/>
    <w:rsid w:val="003C7AE4"/>
    <w:rsid w:val="003E3E0B"/>
    <w:rsid w:val="003E4BBC"/>
    <w:rsid w:val="003F50A1"/>
    <w:rsid w:val="003F5BB0"/>
    <w:rsid w:val="00404325"/>
    <w:rsid w:val="00417260"/>
    <w:rsid w:val="00433040"/>
    <w:rsid w:val="0043575F"/>
    <w:rsid w:val="004401BC"/>
    <w:rsid w:val="004419CC"/>
    <w:rsid w:val="004439C1"/>
    <w:rsid w:val="00447468"/>
    <w:rsid w:val="00461A70"/>
    <w:rsid w:val="00461EA2"/>
    <w:rsid w:val="0047054C"/>
    <w:rsid w:val="00474A15"/>
    <w:rsid w:val="00474C27"/>
    <w:rsid w:val="0047560A"/>
    <w:rsid w:val="004767E0"/>
    <w:rsid w:val="00490875"/>
    <w:rsid w:val="00494FCD"/>
    <w:rsid w:val="00495CF1"/>
    <w:rsid w:val="004A02AA"/>
    <w:rsid w:val="004A3AD7"/>
    <w:rsid w:val="004B406B"/>
    <w:rsid w:val="004B4BB1"/>
    <w:rsid w:val="004B5374"/>
    <w:rsid w:val="004B5FAA"/>
    <w:rsid w:val="004B6389"/>
    <w:rsid w:val="004C037C"/>
    <w:rsid w:val="004C183C"/>
    <w:rsid w:val="004C66E5"/>
    <w:rsid w:val="004C7D03"/>
    <w:rsid w:val="004D0982"/>
    <w:rsid w:val="004D594F"/>
    <w:rsid w:val="004F23CF"/>
    <w:rsid w:val="004F46AF"/>
    <w:rsid w:val="004F4CD7"/>
    <w:rsid w:val="004F57E3"/>
    <w:rsid w:val="0050502A"/>
    <w:rsid w:val="0051020F"/>
    <w:rsid w:val="00511692"/>
    <w:rsid w:val="00513FFA"/>
    <w:rsid w:val="00515F7A"/>
    <w:rsid w:val="00524931"/>
    <w:rsid w:val="00534F13"/>
    <w:rsid w:val="00546E65"/>
    <w:rsid w:val="005524D7"/>
    <w:rsid w:val="00554F9A"/>
    <w:rsid w:val="00561539"/>
    <w:rsid w:val="00562A3C"/>
    <w:rsid w:val="00567908"/>
    <w:rsid w:val="0058342D"/>
    <w:rsid w:val="0058467F"/>
    <w:rsid w:val="005860A7"/>
    <w:rsid w:val="0059066C"/>
    <w:rsid w:val="00592EA2"/>
    <w:rsid w:val="00595AB0"/>
    <w:rsid w:val="005A011B"/>
    <w:rsid w:val="005B0294"/>
    <w:rsid w:val="005B0CE9"/>
    <w:rsid w:val="005C4CD1"/>
    <w:rsid w:val="005C74B7"/>
    <w:rsid w:val="005C770D"/>
    <w:rsid w:val="005D1BCA"/>
    <w:rsid w:val="005D770F"/>
    <w:rsid w:val="005E574F"/>
    <w:rsid w:val="005F1BF3"/>
    <w:rsid w:val="00600D77"/>
    <w:rsid w:val="006013A7"/>
    <w:rsid w:val="00603BC8"/>
    <w:rsid w:val="00604480"/>
    <w:rsid w:val="00615695"/>
    <w:rsid w:val="0062206B"/>
    <w:rsid w:val="00630BED"/>
    <w:rsid w:val="006324EE"/>
    <w:rsid w:val="00653339"/>
    <w:rsid w:val="00655730"/>
    <w:rsid w:val="00660F58"/>
    <w:rsid w:val="006644D3"/>
    <w:rsid w:val="00670B8E"/>
    <w:rsid w:val="0067473D"/>
    <w:rsid w:val="00684D00"/>
    <w:rsid w:val="00686790"/>
    <w:rsid w:val="006A3D89"/>
    <w:rsid w:val="006A77F0"/>
    <w:rsid w:val="006B347E"/>
    <w:rsid w:val="006C5D18"/>
    <w:rsid w:val="006C5F3A"/>
    <w:rsid w:val="006D0767"/>
    <w:rsid w:val="006D5BE8"/>
    <w:rsid w:val="006E2C22"/>
    <w:rsid w:val="006E45D8"/>
    <w:rsid w:val="006E6AEA"/>
    <w:rsid w:val="006F6E85"/>
    <w:rsid w:val="007022F5"/>
    <w:rsid w:val="007063E6"/>
    <w:rsid w:val="00711B2C"/>
    <w:rsid w:val="00712D2C"/>
    <w:rsid w:val="007175A5"/>
    <w:rsid w:val="0073449A"/>
    <w:rsid w:val="0074518F"/>
    <w:rsid w:val="00752197"/>
    <w:rsid w:val="0075440B"/>
    <w:rsid w:val="00754569"/>
    <w:rsid w:val="00754FB8"/>
    <w:rsid w:val="00760253"/>
    <w:rsid w:val="007949A7"/>
    <w:rsid w:val="00796E9B"/>
    <w:rsid w:val="007D34FF"/>
    <w:rsid w:val="007D60D9"/>
    <w:rsid w:val="007E414F"/>
    <w:rsid w:val="007E5064"/>
    <w:rsid w:val="007E64B2"/>
    <w:rsid w:val="007F4BBC"/>
    <w:rsid w:val="00810366"/>
    <w:rsid w:val="00810645"/>
    <w:rsid w:val="00810A97"/>
    <w:rsid w:val="00811C3F"/>
    <w:rsid w:val="00820C4C"/>
    <w:rsid w:val="00852E59"/>
    <w:rsid w:val="008543C2"/>
    <w:rsid w:val="008549C0"/>
    <w:rsid w:val="00862951"/>
    <w:rsid w:val="00872C4B"/>
    <w:rsid w:val="008801DC"/>
    <w:rsid w:val="008916FE"/>
    <w:rsid w:val="008952E5"/>
    <w:rsid w:val="008A71ED"/>
    <w:rsid w:val="008B1AF5"/>
    <w:rsid w:val="008B3632"/>
    <w:rsid w:val="008C725C"/>
    <w:rsid w:val="008D5058"/>
    <w:rsid w:val="00902B66"/>
    <w:rsid w:val="00912A47"/>
    <w:rsid w:val="009145B9"/>
    <w:rsid w:val="00925C8B"/>
    <w:rsid w:val="00943BC5"/>
    <w:rsid w:val="00950E5B"/>
    <w:rsid w:val="009871A8"/>
    <w:rsid w:val="0099290E"/>
    <w:rsid w:val="00993876"/>
    <w:rsid w:val="00996A67"/>
    <w:rsid w:val="009A37F9"/>
    <w:rsid w:val="009B6722"/>
    <w:rsid w:val="009D0D84"/>
    <w:rsid w:val="009D1C39"/>
    <w:rsid w:val="009D4910"/>
    <w:rsid w:val="009E2E75"/>
    <w:rsid w:val="009E6B85"/>
    <w:rsid w:val="009E74FD"/>
    <w:rsid w:val="009F6345"/>
    <w:rsid w:val="00A03133"/>
    <w:rsid w:val="00A12845"/>
    <w:rsid w:val="00A15DC9"/>
    <w:rsid w:val="00A20482"/>
    <w:rsid w:val="00A21EE9"/>
    <w:rsid w:val="00A34C8B"/>
    <w:rsid w:val="00A377A1"/>
    <w:rsid w:val="00A40693"/>
    <w:rsid w:val="00A4130B"/>
    <w:rsid w:val="00A41E01"/>
    <w:rsid w:val="00A45447"/>
    <w:rsid w:val="00A4790D"/>
    <w:rsid w:val="00A47A6E"/>
    <w:rsid w:val="00A520CC"/>
    <w:rsid w:val="00A64E64"/>
    <w:rsid w:val="00A90CAE"/>
    <w:rsid w:val="00A972A8"/>
    <w:rsid w:val="00AA20DF"/>
    <w:rsid w:val="00AA5FDA"/>
    <w:rsid w:val="00AB0C56"/>
    <w:rsid w:val="00AB1A02"/>
    <w:rsid w:val="00AB7236"/>
    <w:rsid w:val="00AC5E69"/>
    <w:rsid w:val="00AC7936"/>
    <w:rsid w:val="00AD0D91"/>
    <w:rsid w:val="00AD27A9"/>
    <w:rsid w:val="00AF524C"/>
    <w:rsid w:val="00AF6282"/>
    <w:rsid w:val="00AF68FB"/>
    <w:rsid w:val="00B00534"/>
    <w:rsid w:val="00B025AC"/>
    <w:rsid w:val="00B17746"/>
    <w:rsid w:val="00B2591A"/>
    <w:rsid w:val="00B25B41"/>
    <w:rsid w:val="00B3184A"/>
    <w:rsid w:val="00B454AE"/>
    <w:rsid w:val="00B477A6"/>
    <w:rsid w:val="00B75023"/>
    <w:rsid w:val="00B82AE0"/>
    <w:rsid w:val="00B850F8"/>
    <w:rsid w:val="00B918A8"/>
    <w:rsid w:val="00B93903"/>
    <w:rsid w:val="00B9423D"/>
    <w:rsid w:val="00B9582D"/>
    <w:rsid w:val="00B96423"/>
    <w:rsid w:val="00BB3FBD"/>
    <w:rsid w:val="00BB4F5A"/>
    <w:rsid w:val="00BB7109"/>
    <w:rsid w:val="00BD1170"/>
    <w:rsid w:val="00BD3317"/>
    <w:rsid w:val="00BD5800"/>
    <w:rsid w:val="00BE33DB"/>
    <w:rsid w:val="00BE4B1D"/>
    <w:rsid w:val="00C01344"/>
    <w:rsid w:val="00C029B5"/>
    <w:rsid w:val="00C0591A"/>
    <w:rsid w:val="00C101BA"/>
    <w:rsid w:val="00C10309"/>
    <w:rsid w:val="00C14727"/>
    <w:rsid w:val="00C21A1B"/>
    <w:rsid w:val="00C24CDD"/>
    <w:rsid w:val="00C25A0B"/>
    <w:rsid w:val="00C269F4"/>
    <w:rsid w:val="00C31AA0"/>
    <w:rsid w:val="00C334C5"/>
    <w:rsid w:val="00C55BFF"/>
    <w:rsid w:val="00C611FF"/>
    <w:rsid w:val="00C634F4"/>
    <w:rsid w:val="00C653D4"/>
    <w:rsid w:val="00C701A0"/>
    <w:rsid w:val="00C71D35"/>
    <w:rsid w:val="00C71D42"/>
    <w:rsid w:val="00C7207D"/>
    <w:rsid w:val="00C7782C"/>
    <w:rsid w:val="00C802A6"/>
    <w:rsid w:val="00C80FF2"/>
    <w:rsid w:val="00C85AC9"/>
    <w:rsid w:val="00CD346C"/>
    <w:rsid w:val="00CD383E"/>
    <w:rsid w:val="00CD5AD9"/>
    <w:rsid w:val="00CE0750"/>
    <w:rsid w:val="00CE13CA"/>
    <w:rsid w:val="00CE3959"/>
    <w:rsid w:val="00CF7E0A"/>
    <w:rsid w:val="00D07C32"/>
    <w:rsid w:val="00D10BBD"/>
    <w:rsid w:val="00D1593D"/>
    <w:rsid w:val="00D20081"/>
    <w:rsid w:val="00D25B58"/>
    <w:rsid w:val="00D267E1"/>
    <w:rsid w:val="00D34042"/>
    <w:rsid w:val="00D36CE2"/>
    <w:rsid w:val="00D5045F"/>
    <w:rsid w:val="00D52CB3"/>
    <w:rsid w:val="00D814E5"/>
    <w:rsid w:val="00D81700"/>
    <w:rsid w:val="00D87BEA"/>
    <w:rsid w:val="00D91B1C"/>
    <w:rsid w:val="00D9350F"/>
    <w:rsid w:val="00D965DE"/>
    <w:rsid w:val="00DA625E"/>
    <w:rsid w:val="00DB27F9"/>
    <w:rsid w:val="00DB4908"/>
    <w:rsid w:val="00DB7FCA"/>
    <w:rsid w:val="00DC3877"/>
    <w:rsid w:val="00DD2B07"/>
    <w:rsid w:val="00DE04BD"/>
    <w:rsid w:val="00DE2FE4"/>
    <w:rsid w:val="00DE754C"/>
    <w:rsid w:val="00E0149A"/>
    <w:rsid w:val="00E07718"/>
    <w:rsid w:val="00E15951"/>
    <w:rsid w:val="00E177F0"/>
    <w:rsid w:val="00E23468"/>
    <w:rsid w:val="00E23AD3"/>
    <w:rsid w:val="00E26A43"/>
    <w:rsid w:val="00E3206B"/>
    <w:rsid w:val="00E4190B"/>
    <w:rsid w:val="00E50AD9"/>
    <w:rsid w:val="00E539B7"/>
    <w:rsid w:val="00E562F7"/>
    <w:rsid w:val="00E61AC8"/>
    <w:rsid w:val="00E63AA9"/>
    <w:rsid w:val="00E63DB4"/>
    <w:rsid w:val="00E743D3"/>
    <w:rsid w:val="00E7508C"/>
    <w:rsid w:val="00E82495"/>
    <w:rsid w:val="00E855CB"/>
    <w:rsid w:val="00E85B6F"/>
    <w:rsid w:val="00E86AB3"/>
    <w:rsid w:val="00E92195"/>
    <w:rsid w:val="00EA6E2C"/>
    <w:rsid w:val="00EB2025"/>
    <w:rsid w:val="00EB273A"/>
    <w:rsid w:val="00EC07D2"/>
    <w:rsid w:val="00EC6E0A"/>
    <w:rsid w:val="00ED5152"/>
    <w:rsid w:val="00EE1091"/>
    <w:rsid w:val="00EE38F2"/>
    <w:rsid w:val="00EE3EC8"/>
    <w:rsid w:val="00EE3F0D"/>
    <w:rsid w:val="00EE51C7"/>
    <w:rsid w:val="00EF1209"/>
    <w:rsid w:val="00EF22F7"/>
    <w:rsid w:val="00F160A1"/>
    <w:rsid w:val="00F22261"/>
    <w:rsid w:val="00F25608"/>
    <w:rsid w:val="00F37363"/>
    <w:rsid w:val="00F40903"/>
    <w:rsid w:val="00F45D0B"/>
    <w:rsid w:val="00F468F2"/>
    <w:rsid w:val="00F5233A"/>
    <w:rsid w:val="00F66EC1"/>
    <w:rsid w:val="00F82EF4"/>
    <w:rsid w:val="00F86560"/>
    <w:rsid w:val="00F966BF"/>
    <w:rsid w:val="00F970FC"/>
    <w:rsid w:val="00FA1E71"/>
    <w:rsid w:val="00FA3C3F"/>
    <w:rsid w:val="00FB019D"/>
    <w:rsid w:val="00FB422B"/>
    <w:rsid w:val="00FC1122"/>
    <w:rsid w:val="00FC5E33"/>
    <w:rsid w:val="00FD72FA"/>
    <w:rsid w:val="00FE7B40"/>
    <w:rsid w:val="00FF308D"/>
    <w:rsid w:val="00FF4C5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8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5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461A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5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461A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842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583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817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190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19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priori – Study questions should be determined in advance of the actual study (a priori)</vt:lpstr>
    </vt:vector>
  </TitlesOfParts>
  <Company>UCSD School of Medicine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priori – Study questions should be determined in advance of the actual study (a priori)</dc:title>
  <dc:creator>Sheri Strite</dc:creator>
  <cp:lastModifiedBy>SheriStrite</cp:lastModifiedBy>
  <cp:revision>3</cp:revision>
  <cp:lastPrinted>2016-11-07T23:38:00Z</cp:lastPrinted>
  <dcterms:created xsi:type="dcterms:W3CDTF">2016-11-07T23:38:00Z</dcterms:created>
  <dcterms:modified xsi:type="dcterms:W3CDTF">2016-11-07T23:39:00Z</dcterms:modified>
</cp:coreProperties>
</file>