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0" w:rsidRPr="003F5BB0" w:rsidRDefault="003F5BB0" w:rsidP="00B477A6">
      <w:pPr>
        <w:rPr>
          <w:rFonts w:ascii="Calibri" w:hAnsi="Calibri"/>
          <w:b/>
          <w:szCs w:val="20"/>
          <w:u w:val="single"/>
        </w:rPr>
      </w:pPr>
      <w:bookmarkStart w:id="0" w:name="_GoBack"/>
      <w:bookmarkEnd w:id="0"/>
      <w:r w:rsidRPr="003F5BB0">
        <w:rPr>
          <w:rFonts w:ascii="Calibri" w:hAnsi="Calibri"/>
          <w:b/>
          <w:szCs w:val="20"/>
        </w:rPr>
        <w:t>Healthcare Information &amp; Decision Equation:</w:t>
      </w:r>
      <w:r w:rsidR="00B477A6">
        <w:rPr>
          <w:rFonts w:ascii="Calibri" w:hAnsi="Calibri"/>
          <w:b/>
          <w:szCs w:val="20"/>
        </w:rPr>
        <w:t xml:space="preserve">  </w:t>
      </w:r>
      <w:r w:rsidRPr="003F5BB0">
        <w:rPr>
          <w:rFonts w:ascii="Calibri" w:hAnsi="Calibri"/>
          <w:b/>
          <w:szCs w:val="20"/>
          <w:u w:val="single"/>
        </w:rPr>
        <w:t>Information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 xml:space="preserve">Decision 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>Action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>Outcome</w:t>
      </w:r>
    </w:p>
    <w:p w:rsidR="003F5BB0" w:rsidRPr="003F5BB0" w:rsidRDefault="00B477A6" w:rsidP="00B477A6">
      <w:pPr>
        <w:tabs>
          <w:tab w:val="left" w:pos="408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ab/>
      </w:r>
      <w:r w:rsidR="003F5BB0" w:rsidRPr="003F5BB0">
        <w:rPr>
          <w:rFonts w:ascii="Calibri" w:hAnsi="Calibri"/>
          <w:b/>
          <w:szCs w:val="20"/>
        </w:rPr>
        <w:t>Is it true</w:t>
      </w:r>
      <w:r w:rsidR="003F5BB0" w:rsidRPr="003F5BB0">
        <w:rPr>
          <w:rFonts w:ascii="Calibri" w:hAnsi="Calibri"/>
          <w:b/>
          <w:szCs w:val="20"/>
        </w:rPr>
        <w:sym w:font="Wingdings" w:char="F0E8"/>
      </w:r>
      <w:r w:rsidR="003F5BB0" w:rsidRPr="003F5BB0">
        <w:rPr>
          <w:rFonts w:ascii="Calibri" w:hAnsi="Calibri"/>
          <w:b/>
          <w:szCs w:val="20"/>
        </w:rPr>
        <w:t xml:space="preserve">Is it useful </w:t>
      </w:r>
      <w:r w:rsidR="003F5BB0" w:rsidRPr="003F5BB0">
        <w:rPr>
          <w:rFonts w:ascii="Calibri" w:hAnsi="Calibri"/>
          <w:b/>
          <w:szCs w:val="20"/>
        </w:rPr>
        <w:sym w:font="Wingdings" w:char="F0E8"/>
      </w:r>
      <w:r w:rsidR="003F5BB0">
        <w:rPr>
          <w:rFonts w:ascii="Calibri" w:hAnsi="Calibri"/>
          <w:b/>
          <w:szCs w:val="20"/>
        </w:rPr>
        <w:t>Is it u</w:t>
      </w:r>
      <w:r w:rsidR="003F5BB0" w:rsidRPr="003F5BB0">
        <w:rPr>
          <w:rFonts w:ascii="Calibri" w:hAnsi="Calibri"/>
          <w:b/>
          <w:szCs w:val="20"/>
        </w:rPr>
        <w:t>sable</w:t>
      </w:r>
      <w:r w:rsidR="003F5BB0">
        <w:rPr>
          <w:rFonts w:ascii="Calibri" w:hAnsi="Calibri"/>
          <w:b/>
          <w:szCs w:val="20"/>
        </w:rPr>
        <w:t>?</w:t>
      </w:r>
    </w:p>
    <w:tbl>
      <w:tblPr>
        <w:tblW w:w="1080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25C8B" w:rsidTr="00FF4EEC">
        <w:tc>
          <w:tcPr>
            <w:tcW w:w="10800" w:type="dxa"/>
            <w:shd w:val="clear" w:color="auto" w:fill="auto"/>
          </w:tcPr>
          <w:p w:rsidR="00925C8B" w:rsidRPr="00FF4EEC" w:rsidRDefault="00F72899" w:rsidP="00925C8B">
            <w:p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Quick Assessment</w:t>
            </w:r>
            <w:r w:rsidR="00925C8B" w:rsidRPr="00FF4EEC">
              <w:rPr>
                <w:rFonts w:ascii="Calibri" w:hAnsi="Calibri"/>
                <w:b/>
                <w:szCs w:val="20"/>
              </w:rPr>
              <w:br/>
              <w:t>If the results are r</w:t>
            </w:r>
            <w:r w:rsidR="00DB27F9" w:rsidRPr="00FF4EEC">
              <w:rPr>
                <w:rFonts w:ascii="Calibri" w:hAnsi="Calibri"/>
                <w:b/>
                <w:szCs w:val="20"/>
              </w:rPr>
              <w:t>eliable, are they useful and us</w:t>
            </w:r>
            <w:r w:rsidR="00925C8B" w:rsidRPr="00FF4EEC">
              <w:rPr>
                <w:rFonts w:ascii="Calibri" w:hAnsi="Calibri"/>
                <w:b/>
                <w:szCs w:val="20"/>
              </w:rPr>
              <w:t>able?  Would they change your practice?</w:t>
            </w:r>
            <w:r w:rsidR="00DC3877" w:rsidRPr="00FF4EEC">
              <w:rPr>
                <w:rFonts w:ascii="Calibri" w:hAnsi="Calibri"/>
                <w:b/>
                <w:szCs w:val="20"/>
              </w:rPr>
              <w:t xml:space="preserve"> Do they apply to your situation considering your patients and circumstances of care?</w:t>
            </w:r>
            <w:r w:rsidR="00B477A6" w:rsidRPr="00FF4EEC">
              <w:rPr>
                <w:rFonts w:ascii="Calibri" w:hAnsi="Calibri"/>
                <w:b/>
                <w:szCs w:val="20"/>
              </w:rPr>
              <w:t xml:space="preserve">  Consider effects on your patients including benefits, harms, risks, costs, uncertainties, alternatives, applicability, satisfaction, abuse and dependency issues.</w:t>
            </w:r>
            <w:r w:rsidR="00212E0E" w:rsidRPr="00FF4EEC">
              <w:rPr>
                <w:rFonts w:ascii="Calibri" w:hAnsi="Calibri"/>
                <w:b/>
                <w:szCs w:val="20"/>
              </w:rPr>
              <w:t xml:space="preserve">  Consider conflicts of interest.</w:t>
            </w:r>
          </w:p>
          <w:p w:rsidR="00925C8B" w:rsidRPr="00FF4EEC" w:rsidRDefault="00925C8B" w:rsidP="00925C8B">
            <w:pPr>
              <w:rPr>
                <w:rFonts w:ascii="Calibri" w:hAnsi="Calibri"/>
                <w:szCs w:val="20"/>
              </w:rPr>
            </w:pPr>
          </w:p>
          <w:p w:rsidR="00925C8B" w:rsidRPr="00FF4EEC" w:rsidRDefault="00925C8B" w:rsidP="00FF4EE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Are the results in </w:t>
            </w:r>
            <w:r w:rsidRPr="00FF4EEC">
              <w:rPr>
                <w:rFonts w:ascii="Calibri" w:hAnsi="Calibri"/>
                <w:b/>
                <w:szCs w:val="20"/>
              </w:rPr>
              <w:t>clinically significant areas</w:t>
            </w:r>
            <w:r w:rsidRPr="00FF4EEC">
              <w:rPr>
                <w:rFonts w:ascii="Calibri" w:hAnsi="Calibri"/>
                <w:szCs w:val="20"/>
              </w:rPr>
              <w:t xml:space="preserve"> (morbidity, mortality, </w:t>
            </w:r>
            <w:proofErr w:type="gramStart"/>
            <w:r w:rsidRPr="00FF4EEC">
              <w:rPr>
                <w:rFonts w:ascii="Calibri" w:hAnsi="Calibri"/>
                <w:szCs w:val="20"/>
              </w:rPr>
              <w:t>symptom</w:t>
            </w:r>
            <w:proofErr w:type="gramEnd"/>
            <w:r w:rsidRPr="00FF4EEC">
              <w:rPr>
                <w:rFonts w:ascii="Calibri" w:hAnsi="Calibri"/>
                <w:szCs w:val="20"/>
              </w:rPr>
              <w:t xml:space="preserve"> relief, </w:t>
            </w:r>
            <w:r w:rsidR="002C45D5">
              <w:rPr>
                <w:rFonts w:ascii="Calibri" w:hAnsi="Calibri"/>
                <w:szCs w:val="20"/>
              </w:rPr>
              <w:t>mental/</w:t>
            </w:r>
            <w:r w:rsidRPr="00FF4EEC">
              <w:rPr>
                <w:rFonts w:ascii="Calibri" w:hAnsi="Calibri"/>
                <w:szCs w:val="20"/>
              </w:rPr>
              <w:t xml:space="preserve">emotional/physical functioning and health-related quality of life)?  If not, is there a reliable causal chain of evidence to support use of an intermediate marker?  </w:t>
            </w:r>
          </w:p>
          <w:p w:rsidR="00925C8B" w:rsidRPr="004E6D17" w:rsidRDefault="00925C8B" w:rsidP="00FF4EE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Were </w:t>
            </w:r>
            <w:r w:rsidR="00D76646" w:rsidRPr="00FF4EEC">
              <w:rPr>
                <w:rFonts w:ascii="Calibri" w:hAnsi="Calibri"/>
                <w:szCs w:val="20"/>
              </w:rPr>
              <w:t xml:space="preserve">research questions, </w:t>
            </w:r>
            <w:r w:rsidRPr="00FF4EEC">
              <w:rPr>
                <w:rFonts w:ascii="Calibri" w:hAnsi="Calibri"/>
                <w:szCs w:val="20"/>
              </w:rPr>
              <w:t xml:space="preserve">outcomes and </w:t>
            </w:r>
            <w:r w:rsidR="00D76646" w:rsidRPr="004E6D17">
              <w:rPr>
                <w:rFonts w:ascii="Calibri" w:hAnsi="Calibri"/>
                <w:szCs w:val="20"/>
              </w:rPr>
              <w:t xml:space="preserve">populations for </w:t>
            </w:r>
            <w:r w:rsidRPr="004E6D17">
              <w:rPr>
                <w:rFonts w:ascii="Calibri" w:hAnsi="Calibri"/>
                <w:szCs w:val="20"/>
              </w:rPr>
              <w:t xml:space="preserve">analyses determined </w:t>
            </w:r>
            <w:r w:rsidRPr="004E6D17">
              <w:rPr>
                <w:rFonts w:ascii="Calibri" w:hAnsi="Calibri"/>
                <w:b/>
                <w:szCs w:val="20"/>
              </w:rPr>
              <w:t>in advance</w:t>
            </w:r>
            <w:r w:rsidRPr="004E6D17">
              <w:rPr>
                <w:rFonts w:ascii="Calibri" w:hAnsi="Calibri"/>
                <w:szCs w:val="20"/>
              </w:rPr>
              <w:t>?</w:t>
            </w:r>
          </w:p>
          <w:p w:rsidR="00925C8B" w:rsidRPr="004E6D17" w:rsidRDefault="00925C8B" w:rsidP="00FF4EE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4E6D17">
              <w:rPr>
                <w:rFonts w:ascii="Calibri" w:hAnsi="Calibri"/>
                <w:szCs w:val="20"/>
              </w:rPr>
              <w:t xml:space="preserve">Are </w:t>
            </w:r>
            <w:r w:rsidRPr="004E6D17">
              <w:rPr>
                <w:rFonts w:ascii="Calibri" w:hAnsi="Calibri"/>
                <w:b/>
                <w:szCs w:val="20"/>
              </w:rPr>
              <w:t>definitions of outcomes</w:t>
            </w:r>
            <w:r w:rsidRPr="004E6D17">
              <w:rPr>
                <w:rFonts w:ascii="Calibri" w:hAnsi="Calibri"/>
                <w:szCs w:val="20"/>
              </w:rPr>
              <w:t xml:space="preserve"> such as success/failure, improvement/no improvement, etc. reasonable?</w:t>
            </w:r>
          </w:p>
          <w:p w:rsidR="00925C8B" w:rsidRPr="004E6D17" w:rsidRDefault="00925C8B" w:rsidP="00FF4EE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4E6D17">
              <w:rPr>
                <w:rFonts w:ascii="Calibri" w:hAnsi="Calibri"/>
                <w:szCs w:val="20"/>
              </w:rPr>
              <w:t xml:space="preserve">Are the </w:t>
            </w:r>
            <w:r w:rsidRPr="004E6D17">
              <w:rPr>
                <w:rFonts w:ascii="Calibri" w:hAnsi="Calibri"/>
                <w:b/>
                <w:szCs w:val="20"/>
              </w:rPr>
              <w:t>confidence intervals</w:t>
            </w:r>
            <w:r w:rsidRPr="004E6D17">
              <w:rPr>
                <w:rFonts w:ascii="Calibri" w:hAnsi="Calibri"/>
                <w:szCs w:val="20"/>
              </w:rPr>
              <w:t xml:space="preserve"> wholly inclusive of clinical benefit?  If </w:t>
            </w:r>
            <w:r w:rsidRPr="004E6D17">
              <w:rPr>
                <w:rFonts w:ascii="Calibri" w:hAnsi="Calibri"/>
                <w:b/>
                <w:szCs w:val="20"/>
              </w:rPr>
              <w:t>non-significant</w:t>
            </w:r>
            <w:r w:rsidRPr="004E6D17">
              <w:rPr>
                <w:rFonts w:ascii="Calibri" w:hAnsi="Calibri"/>
                <w:szCs w:val="20"/>
              </w:rPr>
              <w:t xml:space="preserve">, are the confidence intervals wholly exclusive of clinical benefit?  </w:t>
            </w:r>
            <w:r w:rsidR="00CC56D6" w:rsidRPr="004E6D17">
              <w:rPr>
                <w:rFonts w:ascii="Calibri" w:hAnsi="Calibri"/>
                <w:szCs w:val="20"/>
              </w:rPr>
              <w:t>Are results likely to be due to chance?</w:t>
            </w:r>
          </w:p>
          <w:p w:rsidR="00925C8B" w:rsidRPr="00FF4EEC" w:rsidRDefault="00925C8B" w:rsidP="00FF4EE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4E6D17">
              <w:rPr>
                <w:rFonts w:ascii="Calibri" w:hAnsi="Calibri"/>
                <w:szCs w:val="20"/>
              </w:rPr>
              <w:t xml:space="preserve">Is this a </w:t>
            </w:r>
            <w:r w:rsidRPr="004E6D17">
              <w:rPr>
                <w:rFonts w:ascii="Calibri" w:hAnsi="Calibri"/>
                <w:b/>
                <w:szCs w:val="20"/>
              </w:rPr>
              <w:t>new intervention</w:t>
            </w:r>
            <w:r w:rsidRPr="004E6D17">
              <w:rPr>
                <w:rFonts w:ascii="Calibri" w:hAnsi="Calibri"/>
                <w:szCs w:val="20"/>
              </w:rPr>
              <w:t>?  If yes, safety is likely to be unknown.</w:t>
            </w:r>
          </w:p>
        </w:tc>
      </w:tr>
      <w:tr w:rsidR="00925C8B" w:rsidTr="00FF4EEC">
        <w:tc>
          <w:tcPr>
            <w:tcW w:w="10800" w:type="dxa"/>
            <w:shd w:val="clear" w:color="auto" w:fill="auto"/>
          </w:tcPr>
          <w:p w:rsidR="00CE3A53" w:rsidRPr="00FF4EEC" w:rsidRDefault="00CE3A53" w:rsidP="00925C8B">
            <w:p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 xml:space="preserve">Study Design </w:t>
            </w:r>
            <w:r w:rsidR="00A5028B" w:rsidRPr="00FF4EEC">
              <w:rPr>
                <w:rFonts w:ascii="Calibri" w:hAnsi="Calibri"/>
                <w:b/>
                <w:szCs w:val="20"/>
              </w:rPr>
              <w:t>Considerations</w:t>
            </w:r>
            <w:r w:rsidRPr="00FF4EEC">
              <w:rPr>
                <w:rFonts w:ascii="Calibri" w:hAnsi="Calibri"/>
                <w:b/>
                <w:szCs w:val="20"/>
              </w:rPr>
              <w:t xml:space="preserve"> </w:t>
            </w:r>
            <w:r w:rsidR="00691723" w:rsidRPr="00FF4EEC">
              <w:rPr>
                <w:rFonts w:ascii="Calibri" w:hAnsi="Calibri"/>
                <w:b/>
                <w:szCs w:val="20"/>
              </w:rPr>
              <w:t>for Usability</w:t>
            </w:r>
          </w:p>
          <w:p w:rsidR="00925C8B" w:rsidRPr="00FF4EEC" w:rsidRDefault="00925C8B" w:rsidP="00FF4EEC">
            <w:pPr>
              <w:numPr>
                <w:ilvl w:val="0"/>
                <w:numId w:val="5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Randomized controlled trials</w:t>
            </w:r>
            <w:r w:rsidRPr="00FF4EEC">
              <w:rPr>
                <w:rFonts w:ascii="Calibri" w:hAnsi="Calibri"/>
                <w:szCs w:val="20"/>
              </w:rPr>
              <w:t xml:space="preserve"> (RCTs) for efficacy and safety (tip: </w:t>
            </w:r>
            <w:r w:rsidRPr="00FF4EEC">
              <w:rPr>
                <w:rFonts w:ascii="Calibri" w:hAnsi="Calibri"/>
                <w:b/>
                <w:szCs w:val="20"/>
              </w:rPr>
              <w:t>choice of intervention was not made</w:t>
            </w:r>
            <w:r w:rsidRPr="00FF4EEC">
              <w:rPr>
                <w:rFonts w:ascii="Calibri" w:hAnsi="Calibri"/>
                <w:szCs w:val="20"/>
              </w:rPr>
              <w:t xml:space="preserve"> by patient or patient</w:t>
            </w:r>
            <w:r w:rsidR="009A37F9" w:rsidRPr="00FF4EEC">
              <w:rPr>
                <w:rFonts w:ascii="Calibri" w:hAnsi="Calibri"/>
                <w:szCs w:val="20"/>
              </w:rPr>
              <w:t>’s physician</w:t>
            </w:r>
            <w:r w:rsidRPr="00FF4EEC">
              <w:rPr>
                <w:rFonts w:ascii="Calibri" w:hAnsi="Calibri"/>
                <w:szCs w:val="20"/>
              </w:rPr>
              <w:t xml:space="preserve"> or by other means that would render study observational)</w:t>
            </w:r>
          </w:p>
          <w:p w:rsidR="00925C8B" w:rsidRPr="00FF4EEC" w:rsidRDefault="006B12C7" w:rsidP="00FF4EEC">
            <w:pPr>
              <w:numPr>
                <w:ilvl w:val="0"/>
                <w:numId w:val="5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>Possibly o</w:t>
            </w:r>
            <w:r w:rsidR="00925C8B" w:rsidRPr="00FF4EEC">
              <w:rPr>
                <w:rFonts w:ascii="Calibri" w:hAnsi="Calibri"/>
                <w:szCs w:val="20"/>
              </w:rPr>
              <w:t xml:space="preserve">bservation studies with </w:t>
            </w:r>
            <w:r w:rsidR="00925C8B" w:rsidRPr="00FF4EEC">
              <w:rPr>
                <w:rFonts w:ascii="Calibri" w:hAnsi="Calibri"/>
                <w:b/>
                <w:szCs w:val="20"/>
              </w:rPr>
              <w:t>all-or-none results</w:t>
            </w:r>
            <w:r w:rsidR="00925C8B" w:rsidRPr="00FF4EEC">
              <w:rPr>
                <w:rFonts w:ascii="Calibri" w:hAnsi="Calibri"/>
                <w:szCs w:val="20"/>
              </w:rPr>
              <w:t xml:space="preserve"> (very rare)</w:t>
            </w:r>
          </w:p>
          <w:p w:rsidR="00925C8B" w:rsidRPr="00FF4EEC" w:rsidRDefault="00925C8B" w:rsidP="00FF4EEC">
            <w:pPr>
              <w:numPr>
                <w:ilvl w:val="0"/>
                <w:numId w:val="5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Observational studies for </w:t>
            </w:r>
            <w:r w:rsidRPr="00FF4EEC">
              <w:rPr>
                <w:rFonts w:ascii="Calibri" w:hAnsi="Calibri"/>
                <w:b/>
                <w:szCs w:val="20"/>
              </w:rPr>
              <w:t>safety</w:t>
            </w:r>
            <w:r w:rsidRPr="00FF4EEC">
              <w:rPr>
                <w:rFonts w:ascii="Calibri" w:hAnsi="Calibri"/>
                <w:szCs w:val="20"/>
              </w:rPr>
              <w:t xml:space="preserve"> if lacking quality information from RCTs</w:t>
            </w:r>
          </w:p>
        </w:tc>
      </w:tr>
      <w:tr w:rsidR="00925C8B" w:rsidTr="00FF4EEC">
        <w:tc>
          <w:tcPr>
            <w:tcW w:w="10800" w:type="dxa"/>
            <w:shd w:val="clear" w:color="auto" w:fill="auto"/>
          </w:tcPr>
          <w:p w:rsidR="00925C8B" w:rsidRPr="00FF4EEC" w:rsidRDefault="00925C8B" w:rsidP="00925C8B">
            <w:p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 xml:space="preserve">Validity Considerations to Assess Potential Distortion of Results Due </w:t>
            </w:r>
            <w:r w:rsidR="00F72899" w:rsidRPr="00FF4EEC">
              <w:rPr>
                <w:rFonts w:ascii="Calibri" w:hAnsi="Calibri"/>
                <w:b/>
                <w:szCs w:val="20"/>
              </w:rPr>
              <w:t>to Bias, Confounding or Chance</w:t>
            </w:r>
            <w:r w:rsidRPr="00FF4EEC">
              <w:rPr>
                <w:rFonts w:ascii="Calibri" w:hAnsi="Calibri"/>
                <w:b/>
                <w:szCs w:val="20"/>
              </w:rPr>
              <w:br/>
              <w:t>Assess methodologic details and outcomes in the 4 Phases of a Study</w:t>
            </w:r>
          </w:p>
          <w:p w:rsidR="00925C8B" w:rsidRPr="00FF4EEC" w:rsidRDefault="00925C8B" w:rsidP="00FF4EEC">
            <w:pPr>
              <w:ind w:left="360"/>
              <w:rPr>
                <w:rFonts w:ascii="Calibri" w:hAnsi="Calibri"/>
                <w:b/>
                <w:sz w:val="14"/>
                <w:szCs w:val="14"/>
              </w:rPr>
            </w:pPr>
          </w:p>
          <w:p w:rsidR="00925C8B" w:rsidRPr="00FF4EEC" w:rsidRDefault="00925C8B" w:rsidP="00FF4EEC">
            <w:pPr>
              <w:numPr>
                <w:ilvl w:val="0"/>
                <w:numId w:val="4"/>
              </w:num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Selection of Subjects</w:t>
            </w:r>
          </w:p>
          <w:p w:rsidR="00925C8B" w:rsidRPr="004E6D17" w:rsidRDefault="002C0D86" w:rsidP="00FF4EEC">
            <w:pPr>
              <w:numPr>
                <w:ilvl w:val="0"/>
                <w:numId w:val="6"/>
              </w:numPr>
              <w:rPr>
                <w:rFonts w:ascii="Calibri" w:hAnsi="Calibri"/>
                <w:szCs w:val="20"/>
              </w:rPr>
            </w:pPr>
            <w:r w:rsidRPr="004E6D17">
              <w:rPr>
                <w:rFonts w:ascii="Calibri" w:hAnsi="Calibri"/>
                <w:b/>
                <w:szCs w:val="20"/>
              </w:rPr>
              <w:t>R</w:t>
            </w:r>
            <w:r w:rsidR="00925C8B" w:rsidRPr="004E6D17">
              <w:rPr>
                <w:rFonts w:ascii="Calibri" w:hAnsi="Calibri"/>
                <w:b/>
                <w:szCs w:val="20"/>
              </w:rPr>
              <w:t xml:space="preserve">andom </w:t>
            </w:r>
            <w:r w:rsidRPr="004E6D17">
              <w:rPr>
                <w:rFonts w:ascii="Calibri" w:hAnsi="Calibri"/>
                <w:szCs w:val="20"/>
              </w:rPr>
              <w:t>allocation of</w:t>
            </w:r>
            <w:r w:rsidR="00925C8B" w:rsidRPr="004E6D17">
              <w:rPr>
                <w:rFonts w:ascii="Calibri" w:hAnsi="Calibri"/>
                <w:szCs w:val="20"/>
              </w:rPr>
              <w:t xml:space="preserve"> study subjects to their groups</w:t>
            </w:r>
            <w:r w:rsidRPr="004E6D17">
              <w:rPr>
                <w:rFonts w:ascii="Calibri" w:hAnsi="Calibri"/>
                <w:szCs w:val="20"/>
              </w:rPr>
              <w:t xml:space="preserve"> (minimization may be acceptable)</w:t>
            </w:r>
          </w:p>
          <w:p w:rsidR="00925C8B" w:rsidRPr="00FF4EEC" w:rsidRDefault="00655730" w:rsidP="00FF4EEC">
            <w:pPr>
              <w:numPr>
                <w:ilvl w:val="0"/>
                <w:numId w:val="6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>Adequa</w:t>
            </w:r>
            <w:r w:rsidR="00DC3877" w:rsidRPr="00FF4EEC">
              <w:rPr>
                <w:rFonts w:ascii="Calibri" w:hAnsi="Calibri"/>
                <w:szCs w:val="20"/>
              </w:rPr>
              <w:t>t</w:t>
            </w:r>
            <w:r w:rsidRPr="00FF4EEC">
              <w:rPr>
                <w:rFonts w:ascii="Calibri" w:hAnsi="Calibri"/>
                <w:szCs w:val="20"/>
              </w:rPr>
              <w:t>e</w:t>
            </w:r>
            <w:r w:rsidR="00DC3877" w:rsidRPr="00FF4EEC">
              <w:rPr>
                <w:rFonts w:ascii="Calibri" w:hAnsi="Calibri"/>
                <w:szCs w:val="20"/>
              </w:rPr>
              <w:t xml:space="preserve"> methods for</w:t>
            </w:r>
            <w:r w:rsidR="00925C8B" w:rsidRPr="00FF4EEC">
              <w:rPr>
                <w:rFonts w:ascii="Calibri" w:hAnsi="Calibri"/>
                <w:szCs w:val="20"/>
              </w:rPr>
              <w:t xml:space="preserve"> blind</w:t>
            </w:r>
            <w:r w:rsidR="00DC3877" w:rsidRPr="00FF4EEC">
              <w:rPr>
                <w:rFonts w:ascii="Calibri" w:hAnsi="Calibri"/>
                <w:szCs w:val="20"/>
              </w:rPr>
              <w:t>ing the</w:t>
            </w:r>
            <w:r w:rsidR="00925C8B" w:rsidRPr="00FF4EEC">
              <w:rPr>
                <w:rFonts w:ascii="Calibri" w:hAnsi="Calibri"/>
                <w:szCs w:val="20"/>
              </w:rPr>
              <w:t xml:space="preserve"> allocation of subjects to</w:t>
            </w:r>
            <w:r w:rsidR="00DC3877" w:rsidRPr="00FF4EEC">
              <w:rPr>
                <w:rFonts w:ascii="Calibri" w:hAnsi="Calibri"/>
                <w:szCs w:val="20"/>
              </w:rPr>
              <w:t xml:space="preserve"> their</w:t>
            </w:r>
            <w:r w:rsidR="00925C8B" w:rsidRPr="00FF4EEC">
              <w:rPr>
                <w:rFonts w:ascii="Calibri" w:hAnsi="Calibri"/>
                <w:szCs w:val="20"/>
              </w:rPr>
              <w:t xml:space="preserve"> groups (aka “</w:t>
            </w:r>
            <w:r w:rsidR="00925C8B" w:rsidRPr="00FF4EEC">
              <w:rPr>
                <w:rFonts w:ascii="Calibri" w:hAnsi="Calibri"/>
                <w:b/>
                <w:szCs w:val="20"/>
              </w:rPr>
              <w:t>concealment of allocation</w:t>
            </w:r>
            <w:r w:rsidR="00925C8B" w:rsidRPr="00FF4EEC">
              <w:rPr>
                <w:rFonts w:ascii="Calibri" w:hAnsi="Calibri"/>
                <w:szCs w:val="20"/>
              </w:rPr>
              <w:t>”)</w:t>
            </w:r>
          </w:p>
          <w:p w:rsidR="00925C8B" w:rsidRPr="00FF4EEC" w:rsidRDefault="00925C8B" w:rsidP="00FF4EEC">
            <w:pPr>
              <w:numPr>
                <w:ilvl w:val="0"/>
                <w:numId w:val="6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Balanced distribution of prognostic variables</w:t>
            </w:r>
            <w:r w:rsidRPr="00FF4EEC">
              <w:rPr>
                <w:rFonts w:ascii="Calibri" w:hAnsi="Calibri"/>
                <w:szCs w:val="20"/>
              </w:rPr>
              <w:t xml:space="preserve"> as assessed through review of baseline characteristics</w:t>
            </w:r>
          </w:p>
          <w:p w:rsidR="00925C8B" w:rsidRPr="00FF4EEC" w:rsidRDefault="00925C8B" w:rsidP="00FF4EEC">
            <w:pPr>
              <w:ind w:left="720"/>
              <w:rPr>
                <w:rFonts w:ascii="Calibri" w:hAnsi="Calibri"/>
                <w:szCs w:val="20"/>
              </w:rPr>
            </w:pPr>
          </w:p>
          <w:p w:rsidR="00925C8B" w:rsidRPr="00FF4EEC" w:rsidRDefault="00925C8B" w:rsidP="00FF4EEC">
            <w:pPr>
              <w:numPr>
                <w:ilvl w:val="0"/>
                <w:numId w:val="4"/>
              </w:num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Performance</w:t>
            </w:r>
          </w:p>
          <w:p w:rsidR="00DC3877" w:rsidRPr="00FF4EEC" w:rsidRDefault="00DC3877" w:rsidP="00FF4EEC">
            <w:pPr>
              <w:numPr>
                <w:ilvl w:val="0"/>
                <w:numId w:val="7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Comparisons</w:t>
            </w:r>
            <w:r w:rsidRPr="00FF4EEC">
              <w:rPr>
                <w:rFonts w:ascii="Calibri" w:hAnsi="Calibri"/>
                <w:szCs w:val="20"/>
              </w:rPr>
              <w:t xml:space="preserve"> are reasonable</w:t>
            </w:r>
          </w:p>
          <w:p w:rsidR="00DC3877" w:rsidRPr="00FF4EEC" w:rsidRDefault="00DC3877" w:rsidP="00FF4EEC">
            <w:pPr>
              <w:numPr>
                <w:ilvl w:val="0"/>
                <w:numId w:val="7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Execution</w:t>
            </w:r>
            <w:r w:rsidRPr="00FF4EEC">
              <w:rPr>
                <w:rFonts w:ascii="Calibri" w:hAnsi="Calibri"/>
                <w:szCs w:val="20"/>
              </w:rPr>
              <w:t xml:space="preserve"> is successful, </w:t>
            </w:r>
            <w:r w:rsidRPr="00FF4EEC">
              <w:rPr>
                <w:rFonts w:ascii="Calibri" w:hAnsi="Calibri"/>
                <w:b/>
                <w:szCs w:val="20"/>
              </w:rPr>
              <w:t>adherence</w:t>
            </w:r>
            <w:r w:rsidRPr="00FF4EEC">
              <w:rPr>
                <w:rFonts w:ascii="Calibri" w:hAnsi="Calibri"/>
                <w:szCs w:val="20"/>
              </w:rPr>
              <w:t xml:space="preserve"> was achieved, </w:t>
            </w:r>
            <w:r w:rsidRPr="00FF4EEC">
              <w:rPr>
                <w:rFonts w:ascii="Calibri" w:hAnsi="Calibri"/>
                <w:b/>
                <w:szCs w:val="20"/>
              </w:rPr>
              <w:t>duration</w:t>
            </w:r>
            <w:r w:rsidRPr="00FF4EEC">
              <w:rPr>
                <w:rFonts w:ascii="Calibri" w:hAnsi="Calibri"/>
                <w:szCs w:val="20"/>
              </w:rPr>
              <w:t xml:space="preserve"> of treatment is reasonable</w:t>
            </w:r>
          </w:p>
          <w:p w:rsidR="00925C8B" w:rsidRPr="00FF4EEC" w:rsidRDefault="00925C8B" w:rsidP="00FF4EEC">
            <w:pPr>
              <w:numPr>
                <w:ilvl w:val="0"/>
                <w:numId w:val="7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Everything is the </w:t>
            </w:r>
            <w:r w:rsidRPr="00FF4EEC">
              <w:rPr>
                <w:rFonts w:ascii="Calibri" w:hAnsi="Calibri"/>
                <w:b/>
                <w:szCs w:val="20"/>
              </w:rPr>
              <w:t>same between the groups</w:t>
            </w:r>
            <w:r w:rsidRPr="00FF4EEC">
              <w:rPr>
                <w:rFonts w:ascii="Calibri" w:hAnsi="Calibri"/>
                <w:szCs w:val="20"/>
              </w:rPr>
              <w:t xml:space="preserve"> except for the subject of interest</w:t>
            </w:r>
            <w:r w:rsidR="007C2C2A">
              <w:rPr>
                <w:rFonts w:ascii="Calibri" w:hAnsi="Calibri"/>
                <w:szCs w:val="20"/>
              </w:rPr>
              <w:t>*</w:t>
            </w:r>
            <w:r w:rsidRPr="00FF4EEC">
              <w:rPr>
                <w:rFonts w:ascii="Calibri" w:hAnsi="Calibri"/>
                <w:szCs w:val="20"/>
              </w:rPr>
              <w:t xml:space="preserve"> (e.g., </w:t>
            </w:r>
            <w:r w:rsidR="00DC3877" w:rsidRPr="00FF4EEC">
              <w:rPr>
                <w:rFonts w:ascii="Calibri" w:hAnsi="Calibri"/>
                <w:szCs w:val="20"/>
              </w:rPr>
              <w:t xml:space="preserve">groups are </w:t>
            </w:r>
            <w:r w:rsidR="00DC3877" w:rsidRPr="00FF4EEC">
              <w:rPr>
                <w:rFonts w:ascii="Calibri" w:hAnsi="Calibri"/>
                <w:b/>
                <w:szCs w:val="20"/>
              </w:rPr>
              <w:t>concurrent</w:t>
            </w:r>
            <w:r w:rsidR="000E7139" w:rsidRPr="00FF4EEC">
              <w:rPr>
                <w:rFonts w:ascii="Calibri" w:hAnsi="Calibri"/>
                <w:b/>
                <w:szCs w:val="20"/>
              </w:rPr>
              <w:t xml:space="preserve"> </w:t>
            </w:r>
            <w:r w:rsidR="000E7139" w:rsidRPr="00FF4EEC">
              <w:rPr>
                <w:rFonts w:ascii="Calibri" w:hAnsi="Calibri"/>
                <w:szCs w:val="20"/>
              </w:rPr>
              <w:t>and</w:t>
            </w:r>
            <w:r w:rsidR="000E7139" w:rsidRPr="00FF4EEC">
              <w:rPr>
                <w:rFonts w:ascii="Calibri" w:hAnsi="Calibri"/>
                <w:b/>
                <w:szCs w:val="20"/>
              </w:rPr>
              <w:t xml:space="preserve"> balanced</w:t>
            </w:r>
            <w:r w:rsidR="00DC3877" w:rsidRPr="00FF4EEC">
              <w:rPr>
                <w:rFonts w:ascii="Calibri" w:hAnsi="Calibri"/>
                <w:szCs w:val="20"/>
              </w:rPr>
              <w:t xml:space="preserve">, </w:t>
            </w:r>
            <w:r w:rsidRPr="00FF4EEC">
              <w:rPr>
                <w:rFonts w:ascii="Calibri" w:hAnsi="Calibri"/>
                <w:szCs w:val="20"/>
              </w:rPr>
              <w:t xml:space="preserve">use of </w:t>
            </w:r>
            <w:r w:rsidRPr="00FF4EEC">
              <w:rPr>
                <w:rFonts w:ascii="Calibri" w:hAnsi="Calibri"/>
                <w:b/>
                <w:szCs w:val="20"/>
              </w:rPr>
              <w:t>co-interventions</w:t>
            </w:r>
            <w:r w:rsidR="00DC3877" w:rsidRPr="00FF4EEC">
              <w:rPr>
                <w:rFonts w:ascii="Calibri" w:hAnsi="Calibri"/>
                <w:szCs w:val="20"/>
              </w:rPr>
              <w:t xml:space="preserve"> is the same</w:t>
            </w:r>
            <w:r w:rsidR="00D91A52" w:rsidRPr="00FF4EEC">
              <w:rPr>
                <w:rFonts w:ascii="Calibri" w:hAnsi="Calibri"/>
                <w:szCs w:val="20"/>
              </w:rPr>
              <w:t xml:space="preserve">, same </w:t>
            </w:r>
            <w:r w:rsidR="00D91A52" w:rsidRPr="00FF4EEC">
              <w:rPr>
                <w:rFonts w:ascii="Calibri" w:hAnsi="Calibri"/>
                <w:b/>
                <w:szCs w:val="20"/>
              </w:rPr>
              <w:t>care experiences</w:t>
            </w:r>
            <w:r w:rsidRPr="00FF4EEC">
              <w:rPr>
                <w:rFonts w:ascii="Calibri" w:hAnsi="Calibri"/>
                <w:szCs w:val="20"/>
              </w:rPr>
              <w:t xml:space="preserve">, </w:t>
            </w:r>
            <w:r w:rsidRPr="00FF4EEC">
              <w:rPr>
                <w:rFonts w:ascii="Calibri" w:hAnsi="Calibri"/>
                <w:b/>
                <w:szCs w:val="20"/>
              </w:rPr>
              <w:t>adherence</w:t>
            </w:r>
            <w:r w:rsidR="00DC3877" w:rsidRPr="00FF4EEC">
              <w:rPr>
                <w:rFonts w:ascii="Calibri" w:hAnsi="Calibri"/>
                <w:szCs w:val="20"/>
              </w:rPr>
              <w:t xml:space="preserve"> is balanced, </w:t>
            </w:r>
            <w:r w:rsidR="00DC3877" w:rsidRPr="00FF4EEC">
              <w:rPr>
                <w:rFonts w:ascii="Calibri" w:hAnsi="Calibri"/>
                <w:b/>
                <w:szCs w:val="20"/>
              </w:rPr>
              <w:t>protocol deviations</w:t>
            </w:r>
            <w:r w:rsidR="00DC3877" w:rsidRPr="00FF4EEC">
              <w:rPr>
                <w:rFonts w:ascii="Calibri" w:hAnsi="Calibri"/>
                <w:szCs w:val="20"/>
              </w:rPr>
              <w:t xml:space="preserve"> are balanced, etc.</w:t>
            </w:r>
            <w:r w:rsidRPr="00FF4EEC">
              <w:rPr>
                <w:rFonts w:ascii="Calibri" w:hAnsi="Calibri"/>
                <w:szCs w:val="20"/>
              </w:rPr>
              <w:t>)</w:t>
            </w:r>
            <w:r w:rsidR="00F72899" w:rsidRPr="00FF4EEC">
              <w:rPr>
                <w:rFonts w:ascii="Calibri" w:hAnsi="Calibri"/>
                <w:szCs w:val="20"/>
              </w:rPr>
              <w:t xml:space="preserve"> and no bias is present affecting the groups as a whole</w:t>
            </w:r>
            <w:r w:rsidR="007312C4" w:rsidRPr="00FF4EEC">
              <w:rPr>
                <w:rFonts w:ascii="Calibri" w:hAnsi="Calibri"/>
                <w:szCs w:val="20"/>
              </w:rPr>
              <w:t xml:space="preserve"> (e.g., measurement problems, changes due to time, etc.)</w:t>
            </w:r>
            <w:r w:rsidR="007C2C2A">
              <w:rPr>
                <w:rFonts w:ascii="Calibri" w:hAnsi="Calibri"/>
                <w:szCs w:val="20"/>
              </w:rPr>
              <w:t xml:space="preserve"> *attrition is, at times, an exception</w:t>
            </w:r>
          </w:p>
          <w:p w:rsidR="00925C8B" w:rsidRPr="00FF4EEC" w:rsidRDefault="00925C8B" w:rsidP="00FF4EEC">
            <w:pPr>
              <w:numPr>
                <w:ilvl w:val="0"/>
                <w:numId w:val="7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Blinding</w:t>
            </w:r>
            <w:r w:rsidRPr="00FF4EEC">
              <w:rPr>
                <w:rFonts w:ascii="Calibri" w:hAnsi="Calibri"/>
                <w:szCs w:val="20"/>
              </w:rPr>
              <w:t xml:space="preserve"> of subjects and all working with subjects and their data was performed and </w:t>
            </w:r>
            <w:r w:rsidR="00D76646" w:rsidRPr="00FF4EEC">
              <w:rPr>
                <w:rFonts w:ascii="Calibri" w:hAnsi="Calibri"/>
                <w:szCs w:val="20"/>
              </w:rPr>
              <w:t xml:space="preserve">success </w:t>
            </w:r>
            <w:r w:rsidRPr="00FF4EEC">
              <w:rPr>
                <w:rFonts w:ascii="Calibri" w:hAnsi="Calibri"/>
                <w:szCs w:val="20"/>
              </w:rPr>
              <w:t>wa</w:t>
            </w:r>
            <w:r w:rsidR="00D76646" w:rsidRPr="00FF4EEC">
              <w:rPr>
                <w:rFonts w:ascii="Calibri" w:hAnsi="Calibri"/>
                <w:szCs w:val="20"/>
              </w:rPr>
              <w:t>s likely</w:t>
            </w:r>
            <w:r w:rsidRPr="00FF4EEC">
              <w:rPr>
                <w:rFonts w:ascii="Calibri" w:hAnsi="Calibri"/>
                <w:szCs w:val="20"/>
              </w:rPr>
              <w:br/>
            </w:r>
          </w:p>
          <w:p w:rsidR="00925C8B" w:rsidRPr="00FF4EEC" w:rsidRDefault="004D727E" w:rsidP="00FF4EEC">
            <w:pPr>
              <w:numPr>
                <w:ilvl w:val="0"/>
                <w:numId w:val="4"/>
              </w:num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Da</w:t>
            </w:r>
            <w:r w:rsidR="00F72899" w:rsidRPr="00FF4EEC">
              <w:rPr>
                <w:rFonts w:ascii="Calibri" w:hAnsi="Calibri"/>
                <w:b/>
                <w:szCs w:val="20"/>
              </w:rPr>
              <w:t>ta</w:t>
            </w:r>
          </w:p>
          <w:p w:rsidR="00212E0E" w:rsidRPr="00FF4EEC" w:rsidRDefault="00212E0E" w:rsidP="00FF4EEC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Are </w:t>
            </w:r>
            <w:r w:rsidRPr="00FF4EEC">
              <w:rPr>
                <w:rFonts w:ascii="Calibri" w:hAnsi="Calibri"/>
                <w:b/>
                <w:szCs w:val="20"/>
              </w:rPr>
              <w:t>measurement methods</w:t>
            </w:r>
            <w:r w:rsidRPr="00FF4EEC">
              <w:rPr>
                <w:rFonts w:ascii="Calibri" w:hAnsi="Calibri"/>
                <w:szCs w:val="20"/>
              </w:rPr>
              <w:t xml:space="preserve"> valid and the same between groups?  “Validated” may not really be valid.</w:t>
            </w:r>
            <w:r w:rsidR="00F72899" w:rsidRPr="00FF4EEC">
              <w:rPr>
                <w:rFonts w:ascii="Calibri" w:hAnsi="Calibri"/>
                <w:szCs w:val="20"/>
              </w:rPr>
              <w:t xml:space="preserve"> Consider </w:t>
            </w:r>
            <w:r w:rsidR="00F72899" w:rsidRPr="00493613">
              <w:rPr>
                <w:rFonts w:ascii="Calibri" w:hAnsi="Calibri"/>
                <w:b/>
                <w:szCs w:val="20"/>
              </w:rPr>
              <w:t>duration</w:t>
            </w:r>
            <w:r w:rsidR="00F72899" w:rsidRPr="00FF4EEC">
              <w:rPr>
                <w:rFonts w:ascii="Calibri" w:hAnsi="Calibri"/>
                <w:szCs w:val="20"/>
              </w:rPr>
              <w:t xml:space="preserve"> of </w:t>
            </w:r>
            <w:r w:rsidR="00493613">
              <w:rPr>
                <w:rFonts w:ascii="Calibri" w:hAnsi="Calibri"/>
                <w:szCs w:val="20"/>
              </w:rPr>
              <w:t xml:space="preserve">treatment and </w:t>
            </w:r>
            <w:r w:rsidR="00F72899" w:rsidRPr="00FF4EEC">
              <w:rPr>
                <w:rFonts w:ascii="Calibri" w:hAnsi="Calibri"/>
                <w:szCs w:val="20"/>
              </w:rPr>
              <w:t>follow-up.</w:t>
            </w:r>
          </w:p>
          <w:p w:rsidR="003D099B" w:rsidRPr="00FF4EEC" w:rsidRDefault="003D099B" w:rsidP="00FF4EEC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Could high </w:t>
            </w:r>
            <w:r w:rsidRPr="00FF4EEC">
              <w:rPr>
                <w:rFonts w:ascii="Calibri" w:hAnsi="Calibri"/>
                <w:b/>
                <w:szCs w:val="20"/>
              </w:rPr>
              <w:t>discontinuation rates</w:t>
            </w:r>
            <w:r w:rsidRPr="00FF4EEC">
              <w:rPr>
                <w:rFonts w:ascii="Calibri" w:hAnsi="Calibri"/>
                <w:szCs w:val="20"/>
              </w:rPr>
              <w:t xml:space="preserve"> distort the outcomes </w:t>
            </w:r>
            <w:r w:rsidR="002C4D7D" w:rsidRPr="00FF4EEC">
              <w:rPr>
                <w:rFonts w:ascii="Calibri" w:hAnsi="Calibri"/>
                <w:szCs w:val="20"/>
              </w:rPr>
              <w:t xml:space="preserve">resulting in under reporting of safety problems or </w:t>
            </w:r>
            <w:r w:rsidR="00BC04EE" w:rsidRPr="00FF4EEC">
              <w:rPr>
                <w:rFonts w:ascii="Calibri" w:hAnsi="Calibri"/>
                <w:szCs w:val="20"/>
              </w:rPr>
              <w:t xml:space="preserve">otherwise create a distortion </w:t>
            </w:r>
            <w:r w:rsidRPr="00FF4EEC">
              <w:rPr>
                <w:rFonts w:ascii="Calibri" w:hAnsi="Calibri"/>
                <w:szCs w:val="20"/>
              </w:rPr>
              <w:t xml:space="preserve">due to </w:t>
            </w:r>
            <w:r w:rsidR="00F67C93" w:rsidRPr="00FF4EEC">
              <w:rPr>
                <w:rFonts w:ascii="Calibri" w:hAnsi="Calibri"/>
                <w:szCs w:val="20"/>
              </w:rPr>
              <w:t xml:space="preserve">such issues as </w:t>
            </w:r>
            <w:r w:rsidRPr="00FF4EEC">
              <w:rPr>
                <w:rFonts w:ascii="Calibri" w:hAnsi="Calibri"/>
                <w:szCs w:val="20"/>
              </w:rPr>
              <w:t>subjects using other interventions?</w:t>
            </w:r>
          </w:p>
          <w:p w:rsidR="00925C8B" w:rsidRPr="00FF4EEC" w:rsidRDefault="001216A1" w:rsidP="00FF4EEC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Are </w:t>
            </w:r>
            <w:r w:rsidRPr="00FF4EEC">
              <w:rPr>
                <w:rFonts w:ascii="Calibri" w:hAnsi="Calibri"/>
                <w:b/>
                <w:szCs w:val="20"/>
              </w:rPr>
              <w:t>missing data</w:t>
            </w:r>
            <w:r w:rsidRPr="00FF4EEC">
              <w:rPr>
                <w:rFonts w:ascii="Calibri" w:hAnsi="Calibri"/>
                <w:szCs w:val="20"/>
              </w:rPr>
              <w:t xml:space="preserve"> likely to distort results</w:t>
            </w:r>
            <w:r w:rsidR="00925C8B" w:rsidRPr="00FF4EEC">
              <w:rPr>
                <w:rFonts w:ascii="Calibri" w:hAnsi="Calibri"/>
                <w:szCs w:val="20"/>
              </w:rPr>
              <w:t xml:space="preserve">?  </w:t>
            </w:r>
            <w:r w:rsidR="00925C8B" w:rsidRPr="00FF4EEC">
              <w:rPr>
                <w:rFonts w:ascii="Calibri" w:hAnsi="Calibri"/>
                <w:szCs w:val="20"/>
              </w:rPr>
              <w:br/>
            </w:r>
          </w:p>
          <w:p w:rsidR="00925C8B" w:rsidRPr="00FF4EEC" w:rsidRDefault="00925C8B" w:rsidP="00FF4EEC">
            <w:pPr>
              <w:numPr>
                <w:ilvl w:val="0"/>
                <w:numId w:val="4"/>
              </w:numPr>
              <w:rPr>
                <w:rFonts w:ascii="Calibri" w:hAnsi="Calibri"/>
                <w:b/>
                <w:szCs w:val="20"/>
              </w:rPr>
            </w:pPr>
            <w:r w:rsidRPr="00FF4EEC">
              <w:rPr>
                <w:rFonts w:ascii="Calibri" w:hAnsi="Calibri"/>
                <w:b/>
                <w:szCs w:val="20"/>
              </w:rPr>
              <w:t>Assessment of Outcomes</w:t>
            </w:r>
          </w:p>
          <w:p w:rsidR="00925C8B" w:rsidRPr="00FF4EEC" w:rsidRDefault="00925C8B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Was </w:t>
            </w:r>
            <w:r w:rsidRPr="00FF4EEC">
              <w:rPr>
                <w:rFonts w:ascii="Calibri" w:hAnsi="Calibri"/>
                <w:b/>
                <w:szCs w:val="20"/>
              </w:rPr>
              <w:t>assessment blind</w:t>
            </w:r>
            <w:r w:rsidRPr="00FF4EEC">
              <w:rPr>
                <w:rFonts w:ascii="Calibri" w:hAnsi="Calibri"/>
                <w:szCs w:val="20"/>
              </w:rPr>
              <w:t>?</w:t>
            </w:r>
          </w:p>
          <w:p w:rsidR="00D76646" w:rsidRPr="00FF4EEC" w:rsidRDefault="00D76646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Were </w:t>
            </w:r>
            <w:r w:rsidRPr="00493613">
              <w:rPr>
                <w:rFonts w:ascii="Calibri" w:hAnsi="Calibri"/>
                <w:b/>
                <w:szCs w:val="20"/>
              </w:rPr>
              <w:t>analysis methods</w:t>
            </w:r>
            <w:r w:rsidRPr="00FF4EEC">
              <w:rPr>
                <w:rFonts w:ascii="Calibri" w:hAnsi="Calibri"/>
                <w:szCs w:val="20"/>
              </w:rPr>
              <w:t xml:space="preserve"> appropriate including predefined groups for analysis?</w:t>
            </w:r>
          </w:p>
          <w:p w:rsidR="00AF510E" w:rsidRPr="00FF4EEC" w:rsidRDefault="00925C8B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If </w:t>
            </w:r>
            <w:r w:rsidRPr="00FF4EEC">
              <w:rPr>
                <w:rFonts w:ascii="Calibri" w:hAnsi="Calibri"/>
                <w:b/>
                <w:szCs w:val="20"/>
              </w:rPr>
              <w:t>composite outcomes</w:t>
            </w:r>
            <w:r w:rsidRPr="00FF4EEC">
              <w:rPr>
                <w:rFonts w:ascii="Calibri" w:hAnsi="Calibri"/>
                <w:szCs w:val="20"/>
              </w:rPr>
              <w:t xml:space="preserve"> were utilized, were they reasonable?</w:t>
            </w:r>
            <w:r w:rsidR="002667FA">
              <w:rPr>
                <w:rFonts w:ascii="Calibri" w:hAnsi="Calibri"/>
                <w:szCs w:val="20"/>
              </w:rPr>
              <w:t xml:space="preserve"> </w:t>
            </w:r>
          </w:p>
          <w:p w:rsidR="00925C8B" w:rsidRDefault="00652E80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652E80">
              <w:rPr>
                <w:rFonts w:ascii="Calibri" w:hAnsi="Calibri"/>
                <w:szCs w:val="20"/>
              </w:rPr>
              <w:t>If appropriate, w</w:t>
            </w:r>
            <w:r w:rsidR="00236754" w:rsidRPr="00652E80">
              <w:rPr>
                <w:rFonts w:ascii="Calibri" w:hAnsi="Calibri"/>
                <w:szCs w:val="20"/>
              </w:rPr>
              <w:t xml:space="preserve">as analysis done by </w:t>
            </w:r>
            <w:r w:rsidR="00236754" w:rsidRPr="00652E80">
              <w:rPr>
                <w:rFonts w:ascii="Calibri" w:hAnsi="Calibri"/>
                <w:b/>
                <w:szCs w:val="20"/>
              </w:rPr>
              <w:t>Intention-to-Treat</w:t>
            </w:r>
            <w:r w:rsidR="00236754" w:rsidRPr="00652E80">
              <w:rPr>
                <w:rFonts w:ascii="Calibri" w:hAnsi="Calibri"/>
                <w:szCs w:val="20"/>
              </w:rPr>
              <w:t xml:space="preserve"> (all patients evaluated in </w:t>
            </w:r>
            <w:r w:rsidRPr="00652E80">
              <w:rPr>
                <w:rFonts w:ascii="Calibri" w:hAnsi="Calibri"/>
                <w:szCs w:val="20"/>
              </w:rPr>
              <w:t xml:space="preserve">assigned </w:t>
            </w:r>
            <w:r w:rsidR="00236754" w:rsidRPr="00652E80">
              <w:rPr>
                <w:rFonts w:ascii="Calibri" w:hAnsi="Calibri"/>
                <w:szCs w:val="20"/>
              </w:rPr>
              <w:t>groups)</w:t>
            </w:r>
            <w:r w:rsidRPr="00652E80">
              <w:rPr>
                <w:rFonts w:ascii="Calibri" w:hAnsi="Calibri"/>
                <w:szCs w:val="20"/>
              </w:rPr>
              <w:t xml:space="preserve"> with </w:t>
            </w:r>
            <w:r w:rsidR="00236754" w:rsidRPr="00652E80">
              <w:rPr>
                <w:rFonts w:ascii="Calibri" w:hAnsi="Calibri"/>
                <w:b/>
                <w:szCs w:val="20"/>
              </w:rPr>
              <w:t>missing variables assigned</w:t>
            </w:r>
            <w:r w:rsidR="00236754" w:rsidRPr="00652E80">
              <w:rPr>
                <w:rFonts w:ascii="Calibri" w:hAnsi="Calibri"/>
                <w:szCs w:val="20"/>
              </w:rPr>
              <w:t xml:space="preserve"> by reasonable methods which will not favor the intervention?</w:t>
            </w:r>
          </w:p>
          <w:p w:rsidR="00CC56D6" w:rsidRPr="00652E80" w:rsidRDefault="004E6D17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</w:t>
            </w:r>
            <w:r w:rsidR="00CC56D6">
              <w:rPr>
                <w:rFonts w:ascii="Calibri" w:hAnsi="Calibri"/>
                <w:szCs w:val="20"/>
              </w:rPr>
              <w:t xml:space="preserve">f </w:t>
            </w:r>
            <w:r w:rsidR="00CC56D6" w:rsidRPr="004E6D17">
              <w:rPr>
                <w:rFonts w:ascii="Calibri" w:hAnsi="Calibri"/>
                <w:b/>
                <w:szCs w:val="20"/>
              </w:rPr>
              <w:t xml:space="preserve">time-to-event </w:t>
            </w:r>
            <w:r w:rsidRPr="004E6D17">
              <w:rPr>
                <w:rFonts w:ascii="Calibri" w:hAnsi="Calibri"/>
                <w:b/>
                <w:szCs w:val="20"/>
              </w:rPr>
              <w:t>analysis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CC56D6">
              <w:rPr>
                <w:rFonts w:ascii="Calibri" w:hAnsi="Calibri"/>
                <w:szCs w:val="20"/>
              </w:rPr>
              <w:t>used, were methods appropriate including unbiased censoring rules?</w:t>
            </w:r>
          </w:p>
          <w:p w:rsidR="00925C8B" w:rsidRPr="00FF4EEC" w:rsidRDefault="00925C8B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Were assumptions used for </w:t>
            </w:r>
            <w:r w:rsidRPr="00FF4EEC">
              <w:rPr>
                <w:rFonts w:ascii="Calibri" w:hAnsi="Calibri"/>
                <w:b/>
                <w:szCs w:val="20"/>
              </w:rPr>
              <w:t>modeling</w:t>
            </w:r>
            <w:r w:rsidRPr="00FF4EEC">
              <w:rPr>
                <w:rFonts w:ascii="Calibri" w:hAnsi="Calibri"/>
                <w:szCs w:val="20"/>
              </w:rPr>
              <w:t xml:space="preserve"> reasonable?</w:t>
            </w:r>
          </w:p>
          <w:p w:rsidR="00925C8B" w:rsidRPr="00FF4EEC" w:rsidRDefault="00925C8B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Was reporting likely to have been </w:t>
            </w:r>
            <w:r w:rsidRPr="00FF4EEC">
              <w:rPr>
                <w:rFonts w:ascii="Calibri" w:hAnsi="Calibri"/>
                <w:b/>
                <w:szCs w:val="20"/>
              </w:rPr>
              <w:t>selective</w:t>
            </w:r>
            <w:r w:rsidRPr="00FF4EEC">
              <w:rPr>
                <w:rFonts w:ascii="Calibri" w:hAnsi="Calibri"/>
                <w:szCs w:val="20"/>
              </w:rPr>
              <w:t>?</w:t>
            </w:r>
          </w:p>
          <w:p w:rsidR="00925C8B" w:rsidRPr="00FF4EEC" w:rsidRDefault="00925C8B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Was </w:t>
            </w:r>
            <w:r w:rsidRPr="00FF4EEC">
              <w:rPr>
                <w:rFonts w:ascii="Calibri" w:hAnsi="Calibri"/>
                <w:b/>
                <w:szCs w:val="20"/>
              </w:rPr>
              <w:t>safety</w:t>
            </w:r>
            <w:r w:rsidRPr="00FF4EEC">
              <w:rPr>
                <w:rFonts w:ascii="Calibri" w:hAnsi="Calibri"/>
                <w:szCs w:val="20"/>
              </w:rPr>
              <w:t xml:space="preserve"> assessed and reported?</w:t>
            </w:r>
          </w:p>
          <w:p w:rsidR="00BB3FBD" w:rsidRPr="00FF4EEC" w:rsidRDefault="00BB3FBD" w:rsidP="00FF4EEC">
            <w:pPr>
              <w:numPr>
                <w:ilvl w:val="0"/>
                <w:numId w:val="3"/>
              </w:numPr>
              <w:rPr>
                <w:rFonts w:ascii="Calibri" w:hAnsi="Calibri"/>
                <w:szCs w:val="20"/>
              </w:rPr>
            </w:pPr>
            <w:r w:rsidRPr="00FF4EEC">
              <w:rPr>
                <w:rFonts w:ascii="Calibri" w:hAnsi="Calibri"/>
                <w:szCs w:val="20"/>
              </w:rPr>
              <w:t xml:space="preserve">Have results been </w:t>
            </w:r>
            <w:r w:rsidRPr="00FF4EEC">
              <w:rPr>
                <w:rFonts w:ascii="Calibri" w:hAnsi="Calibri"/>
                <w:b/>
                <w:szCs w:val="20"/>
              </w:rPr>
              <w:t>confirmed</w:t>
            </w:r>
            <w:r w:rsidRPr="00FF4EEC">
              <w:rPr>
                <w:rFonts w:ascii="Calibri" w:hAnsi="Calibri"/>
                <w:szCs w:val="20"/>
              </w:rPr>
              <w:t xml:space="preserve"> in other valid studies?</w:t>
            </w:r>
          </w:p>
        </w:tc>
      </w:tr>
    </w:tbl>
    <w:p w:rsidR="00925C8B" w:rsidRPr="008549C0" w:rsidRDefault="00925C8B" w:rsidP="00E7508C">
      <w:pPr>
        <w:rPr>
          <w:rFonts w:ascii="Calibri" w:hAnsi="Calibri"/>
          <w:sz w:val="18"/>
          <w:szCs w:val="18"/>
        </w:rPr>
      </w:pPr>
    </w:p>
    <w:sectPr w:rsidR="00925C8B" w:rsidRPr="008549C0" w:rsidSect="00B477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46" w:right="720" w:bottom="43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B" w:rsidRDefault="00CD3F1B" w:rsidP="00534F13">
      <w:pPr>
        <w:pStyle w:val="Footer"/>
      </w:pPr>
      <w:r>
        <w:separator/>
      </w:r>
    </w:p>
  </w:endnote>
  <w:endnote w:type="continuationSeparator" w:id="0">
    <w:p w:rsidR="00CD3F1B" w:rsidRDefault="00CD3F1B" w:rsidP="00534F1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Default="003F5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BB0" w:rsidRDefault="003F5B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925C8B" w:rsidRDefault="003F5BB0" w:rsidP="00B477A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sz w:val="16"/>
        <w:szCs w:val="16"/>
      </w:rPr>
    </w:pPr>
    <w:r w:rsidRPr="00925C8B">
      <w:rPr>
        <w:rFonts w:ascii="Calibri" w:hAnsi="Calibri"/>
        <w:sz w:val="16"/>
        <w:szCs w:val="16"/>
        <w:lang w:val="it-IT"/>
      </w:rPr>
      <w:t>w</w:t>
    </w:r>
    <w:r w:rsidR="00850219">
      <w:rPr>
        <w:rFonts w:ascii="Calibri" w:hAnsi="Calibri"/>
        <w:sz w:val="16"/>
        <w:szCs w:val="16"/>
        <w:lang w:val="it-IT"/>
      </w:rPr>
      <w:t>ww.delfini.org</w:t>
    </w:r>
    <w:r w:rsidR="00850219">
      <w:rPr>
        <w:rFonts w:ascii="Calibri" w:hAnsi="Calibri"/>
        <w:sz w:val="16"/>
        <w:szCs w:val="16"/>
        <w:lang w:val="it-IT"/>
      </w:rPr>
      <w:tab/>
      <w:t>© 2010-201</w:t>
    </w:r>
    <w:r w:rsidR="004E6D17">
      <w:rPr>
        <w:rFonts w:ascii="Calibri" w:hAnsi="Calibri"/>
        <w:sz w:val="16"/>
        <w:szCs w:val="16"/>
        <w:lang w:val="it-IT"/>
      </w:rPr>
      <w:t>7</w:t>
    </w:r>
    <w:r w:rsidR="00850219">
      <w:rPr>
        <w:rFonts w:ascii="Calibri" w:hAnsi="Calibri"/>
        <w:sz w:val="16"/>
        <w:szCs w:val="16"/>
        <w:lang w:val="it-IT"/>
      </w:rPr>
      <w:t xml:space="preserve"> </w:t>
    </w:r>
    <w:r w:rsidRPr="00925C8B">
      <w:rPr>
        <w:rFonts w:ascii="Calibri" w:hAnsi="Calibri"/>
        <w:sz w:val="16"/>
        <w:szCs w:val="16"/>
        <w:lang w:val="it-IT"/>
      </w:rPr>
      <w:t xml:space="preserve">Delfini Group, LLC. </w:t>
    </w:r>
    <w:r w:rsidRPr="00925C8B">
      <w:rPr>
        <w:rFonts w:ascii="Calibri" w:hAnsi="Calibri"/>
        <w:sz w:val="16"/>
        <w:szCs w:val="16"/>
      </w:rPr>
      <w:t>All Rights Reserved Worldwide.</w:t>
    </w:r>
    <w:r w:rsidRPr="00925C8B">
      <w:rPr>
        <w:rFonts w:ascii="Calibri" w:hAnsi="Calibri"/>
        <w:sz w:val="16"/>
        <w:szCs w:val="16"/>
      </w:rPr>
      <w:tab/>
      <w:t xml:space="preserve">Page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PAGE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B33F9C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  <w:r w:rsidRPr="00925C8B">
      <w:rPr>
        <w:rStyle w:val="PageNumber"/>
        <w:rFonts w:ascii="Calibri" w:hAnsi="Calibri"/>
        <w:sz w:val="16"/>
        <w:szCs w:val="16"/>
      </w:rPr>
      <w:t xml:space="preserve"> of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B33F9C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FF72DF" w:rsidRDefault="003F5BB0" w:rsidP="00FF4C51">
    <w:pPr>
      <w:pStyle w:val="Footer"/>
      <w:tabs>
        <w:tab w:val="clear" w:pos="4320"/>
        <w:tab w:val="center" w:pos="5520"/>
      </w:tabs>
      <w:ind w:right="360"/>
      <w:rPr>
        <w:sz w:val="14"/>
        <w:szCs w:val="14"/>
      </w:rPr>
    </w:pPr>
    <w:r w:rsidRPr="00FF72DF">
      <w:rPr>
        <w:rFonts w:ascii="Verdana" w:hAnsi="Verdana"/>
        <w:sz w:val="14"/>
        <w:szCs w:val="14"/>
        <w:lang w:val="it-IT"/>
      </w:rPr>
      <w:t xml:space="preserve">www.delfini.org </w:t>
    </w:r>
    <w:r w:rsidRPr="00FF72DF">
      <w:rPr>
        <w:rFonts w:ascii="Verdana" w:hAnsi="Verdana"/>
        <w:sz w:val="14"/>
        <w:szCs w:val="14"/>
        <w:lang w:val="it-IT"/>
      </w:rPr>
      <w:tab/>
      <w:t xml:space="preserve">© Delfini Group, LLC, 2010.  </w:t>
    </w:r>
    <w:r w:rsidRPr="00FF72DF">
      <w:rPr>
        <w:rFonts w:ascii="Verdana" w:hAnsi="Verdana"/>
        <w:sz w:val="14"/>
        <w:szCs w:val="14"/>
      </w:rPr>
      <w:t>All Rights Reserved World 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B" w:rsidRDefault="00CD3F1B" w:rsidP="00534F13">
      <w:pPr>
        <w:pStyle w:val="Footer"/>
      </w:pPr>
      <w:r>
        <w:separator/>
      </w:r>
    </w:p>
  </w:footnote>
  <w:footnote w:type="continuationSeparator" w:id="0">
    <w:p w:rsidR="00CD3F1B" w:rsidRDefault="00CD3F1B" w:rsidP="00534F1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925C8B" w:rsidRPr="00367FE8" w:rsidTr="00712D2C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925C8B" w:rsidRDefault="00925C8B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  <w:r w:rsidR="00F72899">
            <w:rPr>
              <w:bCs/>
              <w:iCs/>
              <w:color w:val="FFFFFF"/>
              <w:sz w:val="28"/>
              <w:szCs w:val="16"/>
            </w:rPr>
            <w:t xml:space="preserve"> </w:t>
          </w:r>
          <w:r w:rsidR="00A8171C">
            <w:rPr>
              <w:noProof/>
              <w:color w:val="FFFFFF"/>
              <w:sz w:val="28"/>
              <w:szCs w:val="16"/>
            </w:rPr>
            <w:drawing>
              <wp:inline distT="0" distB="0" distL="0" distR="0">
                <wp:extent cx="723900" cy="257175"/>
                <wp:effectExtent l="0" t="0" r="0" b="0"/>
                <wp:docPr id="4" name="Picture 1" descr="Description: dolphin_da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olphin_dar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171C">
            <w:rPr>
              <w:noProof/>
              <w:color w:val="FFFFFF"/>
              <w:sz w:val="28"/>
              <w:szCs w:val="16"/>
            </w:rPr>
            <w:drawing>
              <wp:inline distT="0" distB="0" distL="0" distR="0">
                <wp:extent cx="723900" cy="257175"/>
                <wp:effectExtent l="0" t="0" r="0" b="0"/>
                <wp:docPr id="3" name="Picture 2" descr="Description: dolphin_da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olphin_dar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C8B" w:rsidRPr="003F5BB0" w:rsidRDefault="00925C8B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>Basic</w:t>
          </w:r>
          <w:r w:rsidR="00BB3FBD">
            <w:rPr>
              <w:bCs/>
              <w:iCs/>
              <w:color w:val="FFFFFF"/>
              <w:sz w:val="28"/>
              <w:szCs w:val="16"/>
            </w:rPr>
            <w:t>s</w:t>
          </w:r>
          <w:r>
            <w:rPr>
              <w:bCs/>
              <w:iCs/>
              <w:color w:val="FFFFFF"/>
              <w:sz w:val="28"/>
              <w:szCs w:val="16"/>
            </w:rPr>
            <w:t xml:space="preserve"> </w:t>
          </w:r>
          <w:r w:rsidR="00BB3FBD">
            <w:rPr>
              <w:bCs/>
              <w:iCs/>
              <w:color w:val="FFFFFF"/>
              <w:sz w:val="28"/>
              <w:szCs w:val="16"/>
            </w:rPr>
            <w:t>of</w:t>
          </w:r>
          <w:r>
            <w:rPr>
              <w:bCs/>
              <w:iCs/>
              <w:color w:val="FFFFFF"/>
              <w:sz w:val="28"/>
              <w:szCs w:val="16"/>
            </w:rPr>
            <w:t xml:space="preserve"> Evaluating Evidence </w:t>
          </w:r>
          <w:r w:rsidR="00BB3FBD">
            <w:rPr>
              <w:bCs/>
              <w:iCs/>
              <w:color w:val="FFFFFF"/>
              <w:sz w:val="28"/>
              <w:szCs w:val="16"/>
            </w:rPr>
            <w:t>in</w:t>
          </w:r>
          <w:r>
            <w:rPr>
              <w:bCs/>
              <w:iCs/>
              <w:color w:val="FFFFFF"/>
              <w:sz w:val="28"/>
              <w:szCs w:val="16"/>
            </w:rPr>
            <w:t xml:space="preserve"> Superiority Trials for Therapies</w:t>
          </w:r>
        </w:p>
      </w:tc>
    </w:tr>
  </w:tbl>
  <w:p w:rsidR="003F5BB0" w:rsidRDefault="003F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3F5BB0" w:rsidRPr="00367FE8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3F5BB0" w:rsidRP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 xml:space="preserve">Basic Considerations </w:t>
          </w:r>
          <w:proofErr w:type="gramStart"/>
          <w:r>
            <w:rPr>
              <w:bCs/>
              <w:iCs/>
              <w:color w:val="FFFFFF"/>
              <w:sz w:val="28"/>
              <w:szCs w:val="16"/>
            </w:rPr>
            <w:t>in  Evaluating</w:t>
          </w:r>
          <w:proofErr w:type="gramEnd"/>
          <w:r>
            <w:rPr>
              <w:bCs/>
              <w:iCs/>
              <w:color w:val="FFFFFF"/>
              <w:sz w:val="28"/>
              <w:szCs w:val="16"/>
            </w:rPr>
            <w:t xml:space="preserve"> Reliability &amp; Usefulness of Efficacy Evidence </w:t>
          </w:r>
          <w:r w:rsidR="0047560A">
            <w:rPr>
              <w:bCs/>
              <w:iCs/>
              <w:color w:val="FFFFFF"/>
              <w:sz w:val="28"/>
              <w:szCs w:val="16"/>
            </w:rPr>
            <w:t xml:space="preserve">of Superiority Trials </w:t>
          </w:r>
          <w:r>
            <w:rPr>
              <w:bCs/>
              <w:iCs/>
              <w:color w:val="FFFFFF"/>
              <w:sz w:val="28"/>
              <w:szCs w:val="16"/>
            </w:rPr>
            <w:t>for Therapies</w:t>
          </w:r>
        </w:p>
      </w:tc>
    </w:tr>
  </w:tbl>
  <w:p w:rsidR="003F5BB0" w:rsidRDefault="003F5BB0" w:rsidP="006B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015A779D"/>
    <w:multiLevelType w:val="hybridMultilevel"/>
    <w:tmpl w:val="B40E35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BB5FD7"/>
    <w:multiLevelType w:val="hybridMultilevel"/>
    <w:tmpl w:val="CD5E32BE"/>
    <w:lvl w:ilvl="0" w:tplc="C980DFF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13762"/>
    <w:multiLevelType w:val="hybridMultilevel"/>
    <w:tmpl w:val="CDA482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257481"/>
    <w:multiLevelType w:val="hybridMultilevel"/>
    <w:tmpl w:val="2AB85E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9223FE"/>
    <w:multiLevelType w:val="hybridMultilevel"/>
    <w:tmpl w:val="E1B6BD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0B6149"/>
    <w:multiLevelType w:val="hybridMultilevel"/>
    <w:tmpl w:val="F3A0E2F6"/>
    <w:lvl w:ilvl="0" w:tplc="1D86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1C6846"/>
    <w:multiLevelType w:val="hybridMultilevel"/>
    <w:tmpl w:val="3238F1A6"/>
    <w:lvl w:ilvl="0" w:tplc="1D86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C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6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0D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A3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4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00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2D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82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7C9F508-8D75-4135-8154-48391E0FDCD1}"/>
    <w:docVar w:name="dgnword-eventsink" w:val="91591056"/>
  </w:docVars>
  <w:rsids>
    <w:rsidRoot w:val="00E23468"/>
    <w:rsid w:val="000006E6"/>
    <w:rsid w:val="00012758"/>
    <w:rsid w:val="0001331C"/>
    <w:rsid w:val="00014752"/>
    <w:rsid w:val="00016C48"/>
    <w:rsid w:val="00020962"/>
    <w:rsid w:val="000226A7"/>
    <w:rsid w:val="00026550"/>
    <w:rsid w:val="00027994"/>
    <w:rsid w:val="00031021"/>
    <w:rsid w:val="00035D0F"/>
    <w:rsid w:val="00047895"/>
    <w:rsid w:val="00055928"/>
    <w:rsid w:val="000655F0"/>
    <w:rsid w:val="000718B7"/>
    <w:rsid w:val="0007476D"/>
    <w:rsid w:val="0008513B"/>
    <w:rsid w:val="000912E2"/>
    <w:rsid w:val="000979EC"/>
    <w:rsid w:val="000A42C3"/>
    <w:rsid w:val="000B5416"/>
    <w:rsid w:val="000C31EF"/>
    <w:rsid w:val="000D1BA0"/>
    <w:rsid w:val="000D5491"/>
    <w:rsid w:val="000E1172"/>
    <w:rsid w:val="000E7139"/>
    <w:rsid w:val="000F3FEA"/>
    <w:rsid w:val="000F6C4B"/>
    <w:rsid w:val="001036E0"/>
    <w:rsid w:val="0011254F"/>
    <w:rsid w:val="00113F0A"/>
    <w:rsid w:val="00114E1C"/>
    <w:rsid w:val="001216A1"/>
    <w:rsid w:val="00122D39"/>
    <w:rsid w:val="00125228"/>
    <w:rsid w:val="001274AF"/>
    <w:rsid w:val="00136068"/>
    <w:rsid w:val="001437AC"/>
    <w:rsid w:val="00152D25"/>
    <w:rsid w:val="00155BCD"/>
    <w:rsid w:val="00157C84"/>
    <w:rsid w:val="0017595E"/>
    <w:rsid w:val="001870A3"/>
    <w:rsid w:val="00190BE1"/>
    <w:rsid w:val="00196EE3"/>
    <w:rsid w:val="001B73B4"/>
    <w:rsid w:val="001C14F3"/>
    <w:rsid w:val="001C5F61"/>
    <w:rsid w:val="001D2F33"/>
    <w:rsid w:val="001F10CA"/>
    <w:rsid w:val="00211170"/>
    <w:rsid w:val="00211480"/>
    <w:rsid w:val="00212E0E"/>
    <w:rsid w:val="00213FA7"/>
    <w:rsid w:val="00220F8B"/>
    <w:rsid w:val="002233A0"/>
    <w:rsid w:val="0022483A"/>
    <w:rsid w:val="00225A91"/>
    <w:rsid w:val="00225BEB"/>
    <w:rsid w:val="00232DDC"/>
    <w:rsid w:val="00236754"/>
    <w:rsid w:val="00240793"/>
    <w:rsid w:val="0024616B"/>
    <w:rsid w:val="0024709D"/>
    <w:rsid w:val="00252C47"/>
    <w:rsid w:val="002643CC"/>
    <w:rsid w:val="002667FA"/>
    <w:rsid w:val="00266891"/>
    <w:rsid w:val="0028457B"/>
    <w:rsid w:val="00294388"/>
    <w:rsid w:val="002A02F0"/>
    <w:rsid w:val="002A0746"/>
    <w:rsid w:val="002A1DAA"/>
    <w:rsid w:val="002A3F9C"/>
    <w:rsid w:val="002B008F"/>
    <w:rsid w:val="002C0D86"/>
    <w:rsid w:val="002C45D5"/>
    <w:rsid w:val="002C4D7D"/>
    <w:rsid w:val="002D39F2"/>
    <w:rsid w:val="002D61D5"/>
    <w:rsid w:val="002D6265"/>
    <w:rsid w:val="002F1796"/>
    <w:rsid w:val="00300F92"/>
    <w:rsid w:val="00304E6B"/>
    <w:rsid w:val="0031111E"/>
    <w:rsid w:val="00314E26"/>
    <w:rsid w:val="00320A63"/>
    <w:rsid w:val="0032455A"/>
    <w:rsid w:val="003246D7"/>
    <w:rsid w:val="00324F76"/>
    <w:rsid w:val="003319A7"/>
    <w:rsid w:val="003350D8"/>
    <w:rsid w:val="0034277F"/>
    <w:rsid w:val="00352C47"/>
    <w:rsid w:val="00354448"/>
    <w:rsid w:val="00354C35"/>
    <w:rsid w:val="00355DA4"/>
    <w:rsid w:val="003648A3"/>
    <w:rsid w:val="00386F48"/>
    <w:rsid w:val="00387539"/>
    <w:rsid w:val="0039190B"/>
    <w:rsid w:val="003A2178"/>
    <w:rsid w:val="003B122F"/>
    <w:rsid w:val="003B4EC7"/>
    <w:rsid w:val="003D099B"/>
    <w:rsid w:val="003E3E0B"/>
    <w:rsid w:val="003F03AB"/>
    <w:rsid w:val="003F2946"/>
    <w:rsid w:val="003F5BB0"/>
    <w:rsid w:val="0040007E"/>
    <w:rsid w:val="00417260"/>
    <w:rsid w:val="00425EEE"/>
    <w:rsid w:val="00433040"/>
    <w:rsid w:val="0043575F"/>
    <w:rsid w:val="004439C1"/>
    <w:rsid w:val="00447468"/>
    <w:rsid w:val="00451F77"/>
    <w:rsid w:val="00461EA2"/>
    <w:rsid w:val="0047054C"/>
    <w:rsid w:val="0047560A"/>
    <w:rsid w:val="00493613"/>
    <w:rsid w:val="00494FCD"/>
    <w:rsid w:val="004A02AA"/>
    <w:rsid w:val="004A3AD7"/>
    <w:rsid w:val="004B406B"/>
    <w:rsid w:val="004B4BB1"/>
    <w:rsid w:val="004B6389"/>
    <w:rsid w:val="004C037C"/>
    <w:rsid w:val="004C183C"/>
    <w:rsid w:val="004C66E5"/>
    <w:rsid w:val="004C7D03"/>
    <w:rsid w:val="004D0982"/>
    <w:rsid w:val="004D727E"/>
    <w:rsid w:val="004E6D17"/>
    <w:rsid w:val="004F23CF"/>
    <w:rsid w:val="004F57E3"/>
    <w:rsid w:val="0050502A"/>
    <w:rsid w:val="0051020F"/>
    <w:rsid w:val="00511692"/>
    <w:rsid w:val="00513FFA"/>
    <w:rsid w:val="00515F7A"/>
    <w:rsid w:val="00524931"/>
    <w:rsid w:val="00534F13"/>
    <w:rsid w:val="00545B36"/>
    <w:rsid w:val="00546E65"/>
    <w:rsid w:val="005500F5"/>
    <w:rsid w:val="005524D7"/>
    <w:rsid w:val="00554F9A"/>
    <w:rsid w:val="00562A3C"/>
    <w:rsid w:val="00567908"/>
    <w:rsid w:val="0058342D"/>
    <w:rsid w:val="0058467F"/>
    <w:rsid w:val="005860A7"/>
    <w:rsid w:val="0059066C"/>
    <w:rsid w:val="00592EA2"/>
    <w:rsid w:val="00595AB0"/>
    <w:rsid w:val="005A07E9"/>
    <w:rsid w:val="005A5DB8"/>
    <w:rsid w:val="005B0294"/>
    <w:rsid w:val="005B0CE9"/>
    <w:rsid w:val="005C4CD1"/>
    <w:rsid w:val="005D1BCA"/>
    <w:rsid w:val="005D770F"/>
    <w:rsid w:val="005E1376"/>
    <w:rsid w:val="005E574F"/>
    <w:rsid w:val="005F1BF3"/>
    <w:rsid w:val="00600D77"/>
    <w:rsid w:val="0062206B"/>
    <w:rsid w:val="00624190"/>
    <w:rsid w:val="00626B9C"/>
    <w:rsid w:val="00630BED"/>
    <w:rsid w:val="006324EE"/>
    <w:rsid w:val="00632797"/>
    <w:rsid w:val="006427B5"/>
    <w:rsid w:val="00652E80"/>
    <w:rsid w:val="00653339"/>
    <w:rsid w:val="00655730"/>
    <w:rsid w:val="00655770"/>
    <w:rsid w:val="00660F58"/>
    <w:rsid w:val="00674314"/>
    <w:rsid w:val="00675B01"/>
    <w:rsid w:val="00684D00"/>
    <w:rsid w:val="00691723"/>
    <w:rsid w:val="006A3D89"/>
    <w:rsid w:val="006A77F0"/>
    <w:rsid w:val="006B12C7"/>
    <w:rsid w:val="006B347E"/>
    <w:rsid w:val="006B376F"/>
    <w:rsid w:val="006C5D18"/>
    <w:rsid w:val="006D0767"/>
    <w:rsid w:val="006D5BE8"/>
    <w:rsid w:val="006E45D8"/>
    <w:rsid w:val="006F6E85"/>
    <w:rsid w:val="007022F5"/>
    <w:rsid w:val="007063E6"/>
    <w:rsid w:val="00711B2C"/>
    <w:rsid w:val="00712D2C"/>
    <w:rsid w:val="007312C4"/>
    <w:rsid w:val="0073449A"/>
    <w:rsid w:val="00752197"/>
    <w:rsid w:val="0075440B"/>
    <w:rsid w:val="00754569"/>
    <w:rsid w:val="00754FB8"/>
    <w:rsid w:val="00760253"/>
    <w:rsid w:val="0077609A"/>
    <w:rsid w:val="00796E9B"/>
    <w:rsid w:val="007C09A1"/>
    <w:rsid w:val="007C2C2A"/>
    <w:rsid w:val="007C6F41"/>
    <w:rsid w:val="007D4EFC"/>
    <w:rsid w:val="007D60D9"/>
    <w:rsid w:val="007E414F"/>
    <w:rsid w:val="007E5064"/>
    <w:rsid w:val="007F4BBC"/>
    <w:rsid w:val="007F5D30"/>
    <w:rsid w:val="00810645"/>
    <w:rsid w:val="00811C3F"/>
    <w:rsid w:val="008162A8"/>
    <w:rsid w:val="00820C4C"/>
    <w:rsid w:val="00844F64"/>
    <w:rsid w:val="00850219"/>
    <w:rsid w:val="00852E59"/>
    <w:rsid w:val="008543C2"/>
    <w:rsid w:val="008549C0"/>
    <w:rsid w:val="00872C4B"/>
    <w:rsid w:val="008801DC"/>
    <w:rsid w:val="00883706"/>
    <w:rsid w:val="008952E5"/>
    <w:rsid w:val="008B1AF5"/>
    <w:rsid w:val="008B3632"/>
    <w:rsid w:val="008B4060"/>
    <w:rsid w:val="008D5058"/>
    <w:rsid w:val="00912A47"/>
    <w:rsid w:val="009145B9"/>
    <w:rsid w:val="00925C8B"/>
    <w:rsid w:val="00942E0B"/>
    <w:rsid w:val="00943BC5"/>
    <w:rsid w:val="009871A8"/>
    <w:rsid w:val="0099290E"/>
    <w:rsid w:val="00996A67"/>
    <w:rsid w:val="009A37F9"/>
    <w:rsid w:val="009B6722"/>
    <w:rsid w:val="009C7D29"/>
    <w:rsid w:val="009D4910"/>
    <w:rsid w:val="009E2E75"/>
    <w:rsid w:val="009E6B85"/>
    <w:rsid w:val="009E74FD"/>
    <w:rsid w:val="009F6345"/>
    <w:rsid w:val="00A03133"/>
    <w:rsid w:val="00A12845"/>
    <w:rsid w:val="00A154E9"/>
    <w:rsid w:val="00A15DC9"/>
    <w:rsid w:val="00A21EE9"/>
    <w:rsid w:val="00A34C8B"/>
    <w:rsid w:val="00A377A1"/>
    <w:rsid w:val="00A40693"/>
    <w:rsid w:val="00A41E01"/>
    <w:rsid w:val="00A45447"/>
    <w:rsid w:val="00A4790D"/>
    <w:rsid w:val="00A47A6E"/>
    <w:rsid w:val="00A5028B"/>
    <w:rsid w:val="00A520CC"/>
    <w:rsid w:val="00A544DE"/>
    <w:rsid w:val="00A64E64"/>
    <w:rsid w:val="00A8171C"/>
    <w:rsid w:val="00A96E93"/>
    <w:rsid w:val="00A972A8"/>
    <w:rsid w:val="00AA20DF"/>
    <w:rsid w:val="00AA3A39"/>
    <w:rsid w:val="00AA5FDA"/>
    <w:rsid w:val="00AB0C56"/>
    <w:rsid w:val="00AB1A02"/>
    <w:rsid w:val="00AB7236"/>
    <w:rsid w:val="00AC5E69"/>
    <w:rsid w:val="00AC7936"/>
    <w:rsid w:val="00AD0D91"/>
    <w:rsid w:val="00AD27A9"/>
    <w:rsid w:val="00AF510E"/>
    <w:rsid w:val="00AF524C"/>
    <w:rsid w:val="00AF6282"/>
    <w:rsid w:val="00B00534"/>
    <w:rsid w:val="00B025AC"/>
    <w:rsid w:val="00B03B35"/>
    <w:rsid w:val="00B17746"/>
    <w:rsid w:val="00B2591A"/>
    <w:rsid w:val="00B25B41"/>
    <w:rsid w:val="00B3184A"/>
    <w:rsid w:val="00B33F9C"/>
    <w:rsid w:val="00B477A6"/>
    <w:rsid w:val="00B62631"/>
    <w:rsid w:val="00B72022"/>
    <w:rsid w:val="00B75023"/>
    <w:rsid w:val="00B82AE0"/>
    <w:rsid w:val="00B850F8"/>
    <w:rsid w:val="00B918A8"/>
    <w:rsid w:val="00B9423D"/>
    <w:rsid w:val="00B94C7E"/>
    <w:rsid w:val="00B96305"/>
    <w:rsid w:val="00BB3FBD"/>
    <w:rsid w:val="00BB4F5A"/>
    <w:rsid w:val="00BB7109"/>
    <w:rsid w:val="00BC04EE"/>
    <w:rsid w:val="00BD1170"/>
    <w:rsid w:val="00BD3317"/>
    <w:rsid w:val="00BD5800"/>
    <w:rsid w:val="00C01344"/>
    <w:rsid w:val="00C029B5"/>
    <w:rsid w:val="00C0591A"/>
    <w:rsid w:val="00C101BA"/>
    <w:rsid w:val="00C10309"/>
    <w:rsid w:val="00C14727"/>
    <w:rsid w:val="00C21A1B"/>
    <w:rsid w:val="00C2298B"/>
    <w:rsid w:val="00C25A0B"/>
    <w:rsid w:val="00C31AA0"/>
    <w:rsid w:val="00C334C5"/>
    <w:rsid w:val="00C60A6B"/>
    <w:rsid w:val="00C611FF"/>
    <w:rsid w:val="00C634F4"/>
    <w:rsid w:val="00C701A0"/>
    <w:rsid w:val="00C71D35"/>
    <w:rsid w:val="00C7207D"/>
    <w:rsid w:val="00C7782C"/>
    <w:rsid w:val="00C802A6"/>
    <w:rsid w:val="00C85AC9"/>
    <w:rsid w:val="00CA61A5"/>
    <w:rsid w:val="00CC56D6"/>
    <w:rsid w:val="00CD346C"/>
    <w:rsid w:val="00CD383E"/>
    <w:rsid w:val="00CD3F1B"/>
    <w:rsid w:val="00CE0750"/>
    <w:rsid w:val="00CE13CA"/>
    <w:rsid w:val="00CE3959"/>
    <w:rsid w:val="00CE3A53"/>
    <w:rsid w:val="00CF7E0A"/>
    <w:rsid w:val="00D07C32"/>
    <w:rsid w:val="00D10BBD"/>
    <w:rsid w:val="00D20081"/>
    <w:rsid w:val="00D25B58"/>
    <w:rsid w:val="00D267E1"/>
    <w:rsid w:val="00D34042"/>
    <w:rsid w:val="00D50331"/>
    <w:rsid w:val="00D5045F"/>
    <w:rsid w:val="00D539DF"/>
    <w:rsid w:val="00D703BC"/>
    <w:rsid w:val="00D76646"/>
    <w:rsid w:val="00D87BEA"/>
    <w:rsid w:val="00D91A52"/>
    <w:rsid w:val="00D91B1C"/>
    <w:rsid w:val="00D9350F"/>
    <w:rsid w:val="00D965DE"/>
    <w:rsid w:val="00DA625E"/>
    <w:rsid w:val="00DB27F9"/>
    <w:rsid w:val="00DB2BCD"/>
    <w:rsid w:val="00DB37E0"/>
    <w:rsid w:val="00DB4908"/>
    <w:rsid w:val="00DB573B"/>
    <w:rsid w:val="00DB7FCA"/>
    <w:rsid w:val="00DC3877"/>
    <w:rsid w:val="00DE04BD"/>
    <w:rsid w:val="00DE2FE4"/>
    <w:rsid w:val="00E0149A"/>
    <w:rsid w:val="00E067A7"/>
    <w:rsid w:val="00E15951"/>
    <w:rsid w:val="00E177F0"/>
    <w:rsid w:val="00E23468"/>
    <w:rsid w:val="00E23AD3"/>
    <w:rsid w:val="00E26A43"/>
    <w:rsid w:val="00E3206B"/>
    <w:rsid w:val="00E4190B"/>
    <w:rsid w:val="00E50AD9"/>
    <w:rsid w:val="00E539B7"/>
    <w:rsid w:val="00E562F7"/>
    <w:rsid w:val="00E63AA9"/>
    <w:rsid w:val="00E63DB4"/>
    <w:rsid w:val="00E6429C"/>
    <w:rsid w:val="00E743D3"/>
    <w:rsid w:val="00E7508C"/>
    <w:rsid w:val="00E82495"/>
    <w:rsid w:val="00E83ED3"/>
    <w:rsid w:val="00E855CB"/>
    <w:rsid w:val="00E85B6F"/>
    <w:rsid w:val="00E86AB3"/>
    <w:rsid w:val="00EA6E2C"/>
    <w:rsid w:val="00EB2025"/>
    <w:rsid w:val="00EB273A"/>
    <w:rsid w:val="00EC07D2"/>
    <w:rsid w:val="00EE38F2"/>
    <w:rsid w:val="00EE3EC8"/>
    <w:rsid w:val="00EE3F0D"/>
    <w:rsid w:val="00EF1209"/>
    <w:rsid w:val="00EF22F7"/>
    <w:rsid w:val="00EF6269"/>
    <w:rsid w:val="00F160A1"/>
    <w:rsid w:val="00F25608"/>
    <w:rsid w:val="00F37363"/>
    <w:rsid w:val="00F40903"/>
    <w:rsid w:val="00F45D0B"/>
    <w:rsid w:val="00F468F2"/>
    <w:rsid w:val="00F5233A"/>
    <w:rsid w:val="00F66EC1"/>
    <w:rsid w:val="00F67C93"/>
    <w:rsid w:val="00F72899"/>
    <w:rsid w:val="00F82EF4"/>
    <w:rsid w:val="00F86560"/>
    <w:rsid w:val="00F966BF"/>
    <w:rsid w:val="00F970FC"/>
    <w:rsid w:val="00FA1E71"/>
    <w:rsid w:val="00FA40C2"/>
    <w:rsid w:val="00FB019D"/>
    <w:rsid w:val="00FB422B"/>
    <w:rsid w:val="00FC1122"/>
    <w:rsid w:val="00FD72FA"/>
    <w:rsid w:val="00FE4879"/>
    <w:rsid w:val="00FE7B40"/>
    <w:rsid w:val="00FF308D"/>
    <w:rsid w:val="00FF4C51"/>
    <w:rsid w:val="00FF4E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priori – Study questions should be determined in advance of the actual study (a priori)</vt:lpstr>
    </vt:vector>
  </TitlesOfParts>
  <Company>UCSD School of Medicine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priori – Study questions should be determined in advance of the actual study (a priori)</dc:title>
  <dc:creator>Sheri Strite</dc:creator>
  <cp:lastModifiedBy>SheriStrite</cp:lastModifiedBy>
  <cp:revision>3</cp:revision>
  <cp:lastPrinted>2017-04-07T19:45:00Z</cp:lastPrinted>
  <dcterms:created xsi:type="dcterms:W3CDTF">2017-04-07T19:45:00Z</dcterms:created>
  <dcterms:modified xsi:type="dcterms:W3CDTF">2017-04-07T19:45:00Z</dcterms:modified>
</cp:coreProperties>
</file>